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63D7DC">
      <w:pPr>
        <w:jc w:val="center"/>
      </w:pPr>
      <w:bookmarkStart w:id="0" w:name="_GoBack"/>
      <w:bookmarkEnd w:id="0"/>
    </w:p>
    <w:p w14:paraId="7E6BBECE">
      <w:pPr>
        <w:jc w:val="center"/>
        <w:rPr>
          <w:sz w:val="24"/>
          <w:szCs w:val="24"/>
        </w:rPr>
      </w:pPr>
      <w:r>
        <w:rPr>
          <w:sz w:val="24"/>
          <w:szCs w:val="24"/>
        </w:rPr>
        <w:pict>
          <v:shape id="_x0000_i1025" o:spt="75" type="#_x0000_t75" style="height:226pt;width:198pt;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</w:pict>
      </w:r>
    </w:p>
    <w:p w14:paraId="4A8D95E4">
      <w:pPr>
        <w:spacing w:before="312" w:beforeLines="100" w:after="312" w:afterLines="100" w:line="360" w:lineRule="auto"/>
        <w:rPr>
          <w:rFonts w:hint="eastAsia" w:ascii="微软雅黑" w:hAnsi="微软雅黑" w:eastAsia="微软雅黑"/>
          <w:b/>
          <w:color w:val="003366"/>
          <w:sz w:val="28"/>
          <w:szCs w:val="28"/>
          <w:lang w:eastAsia="zh-CN"/>
        </w:rPr>
      </w:pPr>
      <w:r>
        <w:rPr>
          <w:rFonts w:hint="eastAsia" w:ascii="Times New Roman" w:hAnsi="微软雅黑" w:eastAsia="微软雅黑" w:cs="Times New Roman"/>
          <w:b/>
          <w:color w:val="003366"/>
          <w:kern w:val="2"/>
          <w:sz w:val="28"/>
          <w:szCs w:val="28"/>
          <w:lang w:val="en-US" w:eastAsia="zh-CN" w:bidi="ar-SA"/>
        </w:rPr>
        <w:t>Product Features</w:t>
      </w:r>
    </w:p>
    <w:p w14:paraId="618B5575">
      <w:pPr>
        <w:numPr>
          <w:ilvl w:val="0"/>
          <w:numId w:val="1"/>
        </w:numPr>
        <w:spacing w:line="360" w:lineRule="auto"/>
        <w:ind w:left="420" w:leftChars="0" w:hanging="420" w:firstLineChars="0"/>
        <w:rPr>
          <w:rFonts w:ascii="宋体"/>
          <w:szCs w:val="21"/>
        </w:rPr>
      </w:pPr>
      <w:r>
        <w:rPr>
          <w:rFonts w:hint="eastAsia" w:ascii="Times New Roman" w:hAnsi="宋体" w:eastAsia="微软雅黑" w:cs="Times New Roman"/>
          <w:kern w:val="2"/>
          <w:sz w:val="21"/>
          <w:szCs w:val="21"/>
          <w:lang w:val="en-US" w:eastAsia="zh-CN" w:bidi="ar-SA"/>
        </w:rPr>
        <w:t>Digital display, one-click pairing, automatic connection, no setup required—simple and quick to use without a phone or computer.</w:t>
      </w:r>
    </w:p>
    <w:p w14:paraId="789CE117">
      <w:pPr>
        <w:numPr>
          <w:ilvl w:val="0"/>
          <w:numId w:val="1"/>
        </w:numPr>
        <w:spacing w:line="360" w:lineRule="auto"/>
        <w:ind w:left="420" w:leftChars="0" w:hanging="420" w:firstLineChars="0"/>
        <w:rPr>
          <w:rFonts w:ascii="宋体"/>
          <w:szCs w:val="21"/>
        </w:rPr>
      </w:pPr>
      <w:r>
        <w:rPr>
          <w:rFonts w:hint="eastAsia" w:ascii="Times New Roman" w:hAnsi="宋体" w:eastAsia="微软雅黑" w:cs="Times New Roman"/>
          <w:kern w:val="2"/>
          <w:sz w:val="21"/>
          <w:szCs w:val="21"/>
          <w:lang w:val="en-US" w:eastAsia="zh-CN" w:bidi="ar-SA"/>
        </w:rPr>
        <w:t>Supports peer-to-peer and point-to-multipoint bridging, offering flexible applications to meet diverse use cases.</w:t>
      </w:r>
    </w:p>
    <w:p w14:paraId="64A1A831">
      <w:pPr>
        <w:numPr>
          <w:ilvl w:val="0"/>
          <w:numId w:val="1"/>
        </w:numPr>
        <w:spacing w:line="360" w:lineRule="auto"/>
        <w:ind w:left="420" w:leftChars="0" w:hanging="420" w:firstLineChars="0"/>
        <w:rPr>
          <w:rFonts w:ascii="宋体"/>
          <w:szCs w:val="21"/>
        </w:rPr>
      </w:pPr>
      <w:r>
        <w:rPr>
          <w:rFonts w:hint="eastAsia" w:ascii="Times New Roman" w:hAnsi="宋体" w:eastAsia="微软雅黑" w:cs="Times New Roman"/>
          <w:kern w:val="2"/>
          <w:sz w:val="21"/>
          <w:szCs w:val="21"/>
          <w:lang w:val="en-US" w:eastAsia="zh-CN" w:bidi="ar-SA"/>
        </w:rPr>
        <w:t>5.8 GHz frequency band, supports spread spectrum technology with a maximum wireless transmission rate of 300 Mbps;</w:t>
      </w:r>
    </w:p>
    <w:p w14:paraId="0FCF88F7">
      <w:pPr>
        <w:numPr>
          <w:ilvl w:val="0"/>
          <w:numId w:val="1"/>
        </w:numPr>
        <w:spacing w:line="360" w:lineRule="auto"/>
        <w:ind w:left="420" w:leftChars="0" w:hanging="420" w:firstLineChars="0"/>
        <w:rPr>
          <w:rFonts w:ascii="宋体"/>
          <w:szCs w:val="21"/>
        </w:rPr>
      </w:pPr>
      <w:r>
        <w:rPr>
          <w:rFonts w:hint="eastAsia" w:ascii="Times New Roman" w:hAnsi="宋体" w:eastAsia="微软雅黑" w:cs="Times New Roman"/>
          <w:kern w:val="2"/>
          <w:sz w:val="21"/>
          <w:szCs w:val="21"/>
          <w:lang w:val="en-US" w:eastAsia="zh-CN" w:bidi="ar-SA"/>
        </w:rPr>
        <w:t>Exhibits strong anti-interference capability, remains unaffected by external environmental factors, and ensures stable transmission;</w:t>
      </w:r>
    </w:p>
    <w:p w14:paraId="4DA4DB8A">
      <w:pPr>
        <w:numPr>
          <w:ilvl w:val="0"/>
          <w:numId w:val="1"/>
        </w:numPr>
        <w:spacing w:line="360" w:lineRule="auto"/>
        <w:ind w:left="420" w:leftChars="0" w:hanging="420" w:firstLineChars="0"/>
        <w:rPr>
          <w:rFonts w:ascii="宋体"/>
          <w:szCs w:val="21"/>
        </w:rPr>
      </w:pPr>
      <w:r>
        <w:rPr>
          <w:rFonts w:hint="eastAsia" w:ascii="Times New Roman" w:hAnsi="宋体" w:eastAsia="微软雅黑" w:cs="Times New Roman"/>
          <w:kern w:val="2"/>
          <w:sz w:val="21"/>
          <w:szCs w:val="21"/>
          <w:lang w:val="en-US" w:eastAsia="zh-CN" w:bidi="ar-SA"/>
        </w:rPr>
        <w:t>Equipped with Qualcomm's engineering-grade chips from the United States, delivering stable and reliable performance.</w:t>
      </w:r>
    </w:p>
    <w:p w14:paraId="54674CEF">
      <w:pPr>
        <w:numPr>
          <w:ilvl w:val="0"/>
          <w:numId w:val="1"/>
        </w:numPr>
        <w:spacing w:line="360" w:lineRule="auto"/>
        <w:ind w:left="420" w:leftChars="0" w:hanging="420" w:firstLineChars="0"/>
        <w:rPr>
          <w:rFonts w:ascii="宋体"/>
          <w:szCs w:val="21"/>
        </w:rPr>
      </w:pPr>
      <w:r>
        <w:rPr>
          <w:rFonts w:hint="eastAsia" w:ascii="Times New Roman" w:hAnsi="宋体" w:eastAsia="微软雅黑" w:cs="Times New Roman"/>
          <w:kern w:val="2"/>
          <w:sz w:val="21"/>
          <w:szCs w:val="21"/>
          <w:lang w:val="en-US" w:eastAsia="zh-CN" w:bidi="ar-SA"/>
        </w:rPr>
        <w:t>Featuring a high-power circuit design with an integrated high-gain directional antenna, it delivers strong signal strength and extended transmission range.</w:t>
      </w:r>
    </w:p>
    <w:p w14:paraId="116AB759">
      <w:pPr>
        <w:numPr>
          <w:ilvl w:val="0"/>
          <w:numId w:val="1"/>
        </w:numPr>
        <w:spacing w:line="360" w:lineRule="auto"/>
        <w:ind w:left="420" w:leftChars="0" w:hanging="420" w:firstLineChars="0"/>
        <w:rPr>
          <w:rFonts w:ascii="宋体"/>
          <w:szCs w:val="21"/>
        </w:rPr>
      </w:pPr>
      <w:r>
        <w:rPr>
          <w:rFonts w:hint="eastAsia" w:ascii="Times New Roman" w:hAnsi="宋体" w:eastAsia="微软雅黑" w:cs="Times New Roman"/>
          <w:kern w:val="2"/>
          <w:sz w:val="21"/>
          <w:szCs w:val="21"/>
          <w:lang w:val="en-US" w:eastAsia="zh-CN" w:bidi="ar-SA"/>
        </w:rPr>
        <w:t>Supports automatic restart, reduces system operation cache, optimizes system performance, and ensures smooth long-term device operation.</w:t>
      </w:r>
    </w:p>
    <w:p w14:paraId="43621464">
      <w:pPr>
        <w:numPr>
          <w:ilvl w:val="0"/>
          <w:numId w:val="1"/>
        </w:numPr>
        <w:spacing w:line="360" w:lineRule="auto"/>
        <w:ind w:left="420" w:leftChars="0" w:hanging="420" w:firstLineChars="0"/>
        <w:rPr>
          <w:rFonts w:ascii="宋体"/>
          <w:szCs w:val="21"/>
        </w:rPr>
      </w:pPr>
      <w:r>
        <w:rPr>
          <w:rFonts w:hint="eastAsia" w:ascii="Times New Roman" w:hAnsi="宋体" w:eastAsia="微软雅黑" w:cs="Times New Roman"/>
          <w:kern w:val="2"/>
          <w:sz w:val="21"/>
          <w:szCs w:val="21"/>
          <w:lang w:val="en-US" w:eastAsia="zh-CN" w:bidi="ar-SA"/>
        </w:rPr>
        <w:t>Supports hiding the bridging SSID from wireless signals to prevent wireless devices from detecting it, protect network data from malicious attacks, and ensure user data security.</w:t>
      </w:r>
    </w:p>
    <w:p w14:paraId="21452C46">
      <w:pPr>
        <w:numPr>
          <w:ilvl w:val="0"/>
          <w:numId w:val="1"/>
        </w:numPr>
        <w:spacing w:line="360" w:lineRule="auto"/>
        <w:ind w:left="420" w:leftChars="0" w:hanging="420" w:firstLineChars="0"/>
        <w:rPr>
          <w:rFonts w:ascii="宋体"/>
          <w:szCs w:val="21"/>
        </w:rPr>
      </w:pPr>
      <w:r>
        <w:rPr>
          <w:rFonts w:hint="eastAsia" w:ascii="Times New Roman" w:hAnsi="宋体" w:eastAsia="微软雅黑" w:cs="Times New Roman"/>
          <w:kern w:val="2"/>
          <w:sz w:val="21"/>
          <w:szCs w:val="21"/>
          <w:lang w:val="en-US" w:eastAsia="zh-CN" w:bidi="ar-SA"/>
        </w:rPr>
        <w:t>Supports both 24V PoE and 12V DC power supplies with plug-and-play functionality for flexible power sourcing.</w:t>
      </w:r>
    </w:p>
    <w:p w14:paraId="182C0184">
      <w:pPr>
        <w:numPr>
          <w:ilvl w:val="0"/>
          <w:numId w:val="1"/>
        </w:numPr>
        <w:spacing w:line="360" w:lineRule="auto"/>
        <w:ind w:left="420" w:leftChars="0" w:hanging="420" w:firstLineChars="0"/>
        <w:rPr>
          <w:rFonts w:ascii="宋体"/>
          <w:szCs w:val="21"/>
        </w:rPr>
      </w:pPr>
      <w:r>
        <w:rPr>
          <w:rFonts w:hint="eastAsia" w:ascii="Times New Roman" w:hAnsi="宋体" w:eastAsia="微软雅黑" w:cs="Times New Roman"/>
          <w:kern w:val="2"/>
          <w:sz w:val="21"/>
          <w:szCs w:val="21"/>
          <w:lang w:val="en-US" w:eastAsia="zh-CN" w:bidi="ar-SA"/>
        </w:rPr>
        <w:t>Featuring an outdoor rain-resistant design with IP65 protection rating, it is resistant to rain, dust, wind, and sunlight, effortlessly adapting to various harsh outdoor conditions while ensuring long-term stable operation.</w:t>
      </w:r>
    </w:p>
    <w:p w14:paraId="2751DA6A">
      <w:pPr>
        <w:numPr>
          <w:ilvl w:val="0"/>
          <w:numId w:val="1"/>
        </w:numPr>
        <w:spacing w:line="360" w:lineRule="auto"/>
        <w:ind w:left="420" w:leftChars="0" w:hanging="420" w:firstLineChars="0"/>
        <w:rPr>
          <w:rFonts w:ascii="宋体"/>
          <w:szCs w:val="21"/>
        </w:rPr>
      </w:pPr>
      <w:r>
        <w:rPr>
          <w:rFonts w:hint="eastAsia" w:ascii="Times New Roman" w:hAnsi="宋体" w:eastAsia="微软雅黑" w:cs="Times New Roman"/>
          <w:kern w:val="2"/>
          <w:sz w:val="21"/>
          <w:szCs w:val="21"/>
          <w:lang w:val="en-US" w:eastAsia="zh-CN" w:bidi="ar-SA"/>
        </w:rPr>
        <w:t>With an olive-shaped design that is simple yet elegant, it's easy to install and can be mounted either wall-mounted or on a bracket.</w:t>
      </w:r>
    </w:p>
    <w:p w14:paraId="3D6203C7">
      <w:pPr>
        <w:numPr>
          <w:ilvl w:val="0"/>
          <w:numId w:val="1"/>
        </w:numPr>
        <w:spacing w:line="360" w:lineRule="auto"/>
        <w:ind w:left="420" w:leftChars="0" w:hanging="420" w:firstLineChars="0"/>
        <w:rPr>
          <w:rFonts w:ascii="宋体"/>
          <w:szCs w:val="21"/>
        </w:rPr>
      </w:pPr>
      <w:r>
        <w:rPr>
          <w:rFonts w:hint="eastAsia" w:ascii="Times New Roman" w:hAnsi="宋体" w:eastAsia="微软雅黑" w:cs="Times New Roman"/>
          <w:kern w:val="2"/>
          <w:sz w:val="21"/>
          <w:szCs w:val="21"/>
          <w:lang w:val="en-US" w:eastAsia="zh-CN" w:bidi="ar-SA"/>
        </w:rPr>
        <w:t>Suitable for various outdoor application scenarios, including construction site monitoring, tower crane monitoring, scenic area monitoring, elevator monitoring, factory premises monitoring, port monitoring, residential community monitoring, and outdoor network transmission.</w:t>
      </w:r>
    </w:p>
    <w:p w14:paraId="3D441E6B">
      <w:pPr>
        <w:spacing w:before="312" w:beforeLines="100" w:after="312" w:afterLines="100" w:line="360" w:lineRule="auto"/>
        <w:rPr>
          <w:rFonts w:hint="eastAsia" w:ascii="微软雅黑" w:hAnsi="微软雅黑" w:eastAsia="微软雅黑"/>
          <w:b/>
          <w:color w:val="003366"/>
          <w:sz w:val="28"/>
          <w:szCs w:val="28"/>
          <w:lang w:eastAsia="zh-CN"/>
        </w:rPr>
      </w:pPr>
      <w:r>
        <w:rPr>
          <w:rFonts w:hint="eastAsia" w:ascii="Times New Roman" w:hAnsi="微软雅黑" w:eastAsia="微软雅黑" w:cs="Times New Roman"/>
          <w:b/>
          <w:color w:val="003366"/>
          <w:kern w:val="2"/>
          <w:sz w:val="28"/>
          <w:szCs w:val="28"/>
          <w:lang w:val="en-US" w:eastAsia="zh-CN" w:bidi="ar-SA"/>
        </w:rPr>
        <w:t>size of product</w:t>
      </w:r>
    </w:p>
    <w:tbl>
      <w:tblPr>
        <w:tblStyle w:val="6"/>
        <w:tblW w:w="946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12"/>
        <w:gridCol w:w="1838"/>
        <w:gridCol w:w="4814"/>
      </w:tblGrid>
      <w:tr w14:paraId="5FF895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2" w:type="dxa"/>
          </w:tcPr>
          <w:p w14:paraId="6FC286E1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product name</w:t>
            </w:r>
          </w:p>
        </w:tc>
        <w:tc>
          <w:tcPr>
            <w:tcW w:w="7562" w:type="dxa"/>
            <w:gridSpan w:val="2"/>
          </w:tcPr>
          <w:p w14:paraId="175E5C07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5.8G High-power Long-range Digital Wireless Bridge</w:t>
            </w:r>
          </w:p>
        </w:tc>
      </w:tr>
      <w:tr w14:paraId="1D8417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2" w:type="dxa"/>
          </w:tcPr>
          <w:p w14:paraId="24CF6F75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product model</w:t>
            </w:r>
          </w:p>
        </w:tc>
        <w:tc>
          <w:tcPr>
            <w:tcW w:w="7562" w:type="dxa"/>
            <w:gridSpan w:val="2"/>
          </w:tcPr>
          <w:p w14:paraId="0CF68DC0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WB5830Y</w:t>
            </w:r>
          </w:p>
        </w:tc>
      </w:tr>
      <w:tr w14:paraId="3ACFB2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64" w:type="dxa"/>
            <w:gridSpan w:val="3"/>
            <w:shd w:val="clear" w:color="auto" w:fill="E6E6E6"/>
          </w:tcPr>
          <w:p w14:paraId="38BACE86">
            <w:pPr>
              <w:rPr>
                <w:rFonts w:hint="eastAsia" w:eastAsia="宋体"/>
                <w:b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b/>
                <w:kern w:val="2"/>
                <w:sz w:val="21"/>
                <w:szCs w:val="21"/>
                <w:lang w:val="en-US" w:eastAsia="zh-CN" w:bidi="ar-SA"/>
              </w:rPr>
              <w:t>Hardware Specifications</w:t>
            </w:r>
          </w:p>
        </w:tc>
      </w:tr>
      <w:tr w14:paraId="2FB2EB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2" w:type="dxa"/>
            <w:vMerge w:val="restart"/>
            <w:vAlign w:val="center"/>
          </w:tcPr>
          <w:p w14:paraId="341D9E44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hardware system</w:t>
            </w:r>
          </w:p>
        </w:tc>
        <w:tc>
          <w:tcPr>
            <w:tcW w:w="1750" w:type="dxa"/>
          </w:tcPr>
          <w:p w14:paraId="4A7BE8BD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Main Chip</w:t>
            </w:r>
          </w:p>
        </w:tc>
        <w:tc>
          <w:tcPr>
            <w:tcW w:w="5812" w:type="dxa"/>
          </w:tcPr>
          <w:p w14:paraId="17761BC6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AR9344</w:t>
            </w:r>
          </w:p>
        </w:tc>
      </w:tr>
      <w:tr w14:paraId="10807A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2" w:type="dxa"/>
            <w:vMerge w:val="continue"/>
          </w:tcPr>
          <w:p w14:paraId="1877EBEF">
            <w:pPr>
              <w:rPr>
                <w:szCs w:val="21"/>
              </w:rPr>
            </w:pPr>
          </w:p>
        </w:tc>
        <w:tc>
          <w:tcPr>
            <w:tcW w:w="1750" w:type="dxa"/>
          </w:tcPr>
          <w:p w14:paraId="018256F7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internal storage</w:t>
            </w:r>
          </w:p>
        </w:tc>
        <w:tc>
          <w:tcPr>
            <w:tcW w:w="5812" w:type="dxa"/>
          </w:tcPr>
          <w:p w14:paraId="26E4A283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64MB</w:t>
            </w:r>
          </w:p>
        </w:tc>
      </w:tr>
      <w:tr w14:paraId="2CAE2B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2" w:type="dxa"/>
            <w:vMerge w:val="continue"/>
          </w:tcPr>
          <w:p w14:paraId="23013717">
            <w:pPr>
              <w:rPr>
                <w:szCs w:val="21"/>
              </w:rPr>
            </w:pPr>
          </w:p>
        </w:tc>
        <w:tc>
          <w:tcPr>
            <w:tcW w:w="1750" w:type="dxa"/>
          </w:tcPr>
          <w:p w14:paraId="00029AF6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FLASH</w:t>
            </w:r>
          </w:p>
        </w:tc>
        <w:tc>
          <w:tcPr>
            <w:tcW w:w="5812" w:type="dxa"/>
          </w:tcPr>
          <w:p w14:paraId="3CE51C39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4MB</w:t>
            </w:r>
          </w:p>
        </w:tc>
      </w:tr>
      <w:tr w14:paraId="584B82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2" w:type="dxa"/>
            <w:vMerge w:val="restart"/>
            <w:vAlign w:val="center"/>
          </w:tcPr>
          <w:p w14:paraId="114B1F41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Wireless Parameters</w:t>
            </w:r>
          </w:p>
        </w:tc>
        <w:tc>
          <w:tcPr>
            <w:tcW w:w="1750" w:type="dxa"/>
            <w:vAlign w:val="center"/>
          </w:tcPr>
          <w:p w14:paraId="157DD5B8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protocol standard</w:t>
            </w:r>
          </w:p>
        </w:tc>
        <w:tc>
          <w:tcPr>
            <w:tcW w:w="5812" w:type="dxa"/>
            <w:vAlign w:val="center"/>
          </w:tcPr>
          <w:p w14:paraId="5BE193BC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IEEE 802.11a/n</w:t>
            </w:r>
          </w:p>
        </w:tc>
      </w:tr>
      <w:tr w14:paraId="54C12D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2" w:type="dxa"/>
            <w:vMerge w:val="continue"/>
            <w:vAlign w:val="center"/>
          </w:tcPr>
          <w:p w14:paraId="4EEB81B6">
            <w:pPr>
              <w:rPr>
                <w:szCs w:val="21"/>
              </w:rPr>
            </w:pPr>
          </w:p>
        </w:tc>
        <w:tc>
          <w:tcPr>
            <w:tcW w:w="1750" w:type="dxa"/>
          </w:tcPr>
          <w:p w14:paraId="22CD3AB5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Working Frequency Band</w:t>
            </w:r>
          </w:p>
        </w:tc>
        <w:tc>
          <w:tcPr>
            <w:tcW w:w="5812" w:type="dxa"/>
          </w:tcPr>
          <w:p w14:paraId="1637EFEE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5.8G：5180MHz ~5825MHz</w:t>
            </w:r>
          </w:p>
        </w:tc>
      </w:tr>
      <w:tr w14:paraId="76E3B8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2" w:type="dxa"/>
            <w:vMerge w:val="continue"/>
          </w:tcPr>
          <w:p w14:paraId="71821C40">
            <w:pPr>
              <w:rPr>
                <w:szCs w:val="21"/>
              </w:rPr>
            </w:pPr>
          </w:p>
        </w:tc>
        <w:tc>
          <w:tcPr>
            <w:tcW w:w="1750" w:type="dxa"/>
          </w:tcPr>
          <w:p w14:paraId="22F281C9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Wireless Speed</w:t>
            </w:r>
          </w:p>
        </w:tc>
        <w:tc>
          <w:tcPr>
            <w:tcW w:w="5812" w:type="dxa"/>
          </w:tcPr>
          <w:p w14:paraId="33A2751E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300Mbps</w:t>
            </w:r>
          </w:p>
        </w:tc>
      </w:tr>
      <w:tr w14:paraId="332BBA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2" w:type="dxa"/>
            <w:vMerge w:val="continue"/>
          </w:tcPr>
          <w:p w14:paraId="4291E1E3">
            <w:pPr>
              <w:rPr>
                <w:szCs w:val="21"/>
              </w:rPr>
            </w:pPr>
          </w:p>
        </w:tc>
        <w:tc>
          <w:tcPr>
            <w:tcW w:w="1750" w:type="dxa"/>
          </w:tcPr>
          <w:p w14:paraId="6B680F0D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transmitting power</w:t>
            </w:r>
          </w:p>
        </w:tc>
        <w:tc>
          <w:tcPr>
            <w:tcW w:w="5812" w:type="dxa"/>
          </w:tcPr>
          <w:p w14:paraId="3A2DEBDA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22dBm</w:t>
            </w:r>
          </w:p>
        </w:tc>
      </w:tr>
      <w:tr w14:paraId="6542A2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2" w:type="dxa"/>
            <w:vMerge w:val="restart"/>
            <w:vAlign w:val="center"/>
          </w:tcPr>
          <w:p w14:paraId="3D9A29CF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physical interface</w:t>
            </w:r>
          </w:p>
        </w:tc>
        <w:tc>
          <w:tcPr>
            <w:tcW w:w="1750" w:type="dxa"/>
            <w:vAlign w:val="center"/>
          </w:tcPr>
          <w:p w14:paraId="59697578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network interface</w:t>
            </w:r>
          </w:p>
        </w:tc>
        <w:tc>
          <w:tcPr>
            <w:tcW w:w="5812" w:type="dxa"/>
          </w:tcPr>
          <w:p w14:paraId="7BCCCB23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Two 10/100 Mbps Ethernet ports (both support 24V PoE power supply)</w:t>
            </w:r>
          </w:p>
        </w:tc>
      </w:tr>
      <w:tr w14:paraId="61F0CA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2" w:type="dxa"/>
            <w:vMerge w:val="continue"/>
          </w:tcPr>
          <w:p w14:paraId="4009656F">
            <w:pPr>
              <w:rPr>
                <w:szCs w:val="21"/>
              </w:rPr>
            </w:pPr>
          </w:p>
        </w:tc>
        <w:tc>
          <w:tcPr>
            <w:tcW w:w="1750" w:type="dxa"/>
            <w:vAlign w:val="center"/>
          </w:tcPr>
          <w:p w14:paraId="208C5576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Hardware Button</w:t>
            </w:r>
          </w:p>
        </w:tc>
        <w:tc>
          <w:tcPr>
            <w:tcW w:w="5812" w:type="dxa"/>
          </w:tcPr>
          <w:p w14:paraId="0984341C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1 digital button/RESET button</w:t>
            </w:r>
          </w:p>
        </w:tc>
      </w:tr>
      <w:tr w14:paraId="3FDA9F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2" w:type="dxa"/>
            <w:vMerge w:val="continue"/>
            <w:vAlign w:val="center"/>
          </w:tcPr>
          <w:p w14:paraId="7560FCEC">
            <w:pPr>
              <w:rPr>
                <w:szCs w:val="21"/>
              </w:rPr>
            </w:pPr>
          </w:p>
        </w:tc>
        <w:tc>
          <w:tcPr>
            <w:tcW w:w="1750" w:type="dxa"/>
            <w:vAlign w:val="center"/>
          </w:tcPr>
          <w:p w14:paraId="257A06BA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Power Supply Interface</w:t>
            </w:r>
          </w:p>
        </w:tc>
        <w:tc>
          <w:tcPr>
            <w:tcW w:w="5812" w:type="dxa"/>
          </w:tcPr>
          <w:p w14:paraId="092723D2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One DC power port, supporting 12V DC power supply</w:t>
            </w:r>
          </w:p>
        </w:tc>
      </w:tr>
      <w:tr w14:paraId="2E2460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2" w:type="dxa"/>
            <w:vMerge w:val="continue"/>
          </w:tcPr>
          <w:p w14:paraId="284E2C28">
            <w:pPr>
              <w:rPr>
                <w:szCs w:val="21"/>
              </w:rPr>
            </w:pPr>
          </w:p>
        </w:tc>
        <w:tc>
          <w:tcPr>
            <w:tcW w:w="1750" w:type="dxa"/>
          </w:tcPr>
          <w:p w14:paraId="7E459206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Pull the switch</w:t>
            </w:r>
          </w:p>
        </w:tc>
        <w:tc>
          <w:tcPr>
            <w:tcW w:w="5812" w:type="dxa"/>
          </w:tcPr>
          <w:p w14:paraId="1DBE5B90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1 pull-down switch (free switching between terminals A and B)</w:t>
            </w:r>
          </w:p>
        </w:tc>
      </w:tr>
      <w:tr w14:paraId="5B95AD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2" w:type="dxa"/>
            <w:vMerge w:val="continue"/>
          </w:tcPr>
          <w:p w14:paraId="41F2C6A6">
            <w:pPr>
              <w:rPr>
                <w:szCs w:val="21"/>
              </w:rPr>
            </w:pPr>
          </w:p>
        </w:tc>
        <w:tc>
          <w:tcPr>
            <w:tcW w:w="1750" w:type="dxa"/>
          </w:tcPr>
          <w:p w14:paraId="36AF3412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Digital Display</w:t>
            </w:r>
          </w:p>
        </w:tc>
        <w:tc>
          <w:tcPr>
            <w:tcW w:w="5812" w:type="dxa"/>
          </w:tcPr>
          <w:p w14:paraId="5DF713B7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1 digital display (supporting 16 channels from 0 to 9, A to F)</w:t>
            </w:r>
          </w:p>
        </w:tc>
      </w:tr>
      <w:tr w14:paraId="1B2B46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2" w:type="dxa"/>
          </w:tcPr>
          <w:p w14:paraId="333A6C51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Wireless Type</w:t>
            </w:r>
          </w:p>
        </w:tc>
        <w:tc>
          <w:tcPr>
            <w:tcW w:w="1750" w:type="dxa"/>
          </w:tcPr>
          <w:p w14:paraId="5100DDCA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Wireless Type</w:t>
            </w:r>
          </w:p>
        </w:tc>
        <w:tc>
          <w:tcPr>
            <w:tcW w:w="5812" w:type="dxa"/>
          </w:tcPr>
          <w:p w14:paraId="49AC6A95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Built-in 14 dBi bipolar directional antenna</w:t>
            </w:r>
          </w:p>
        </w:tc>
      </w:tr>
      <w:tr w14:paraId="6EAC35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2" w:type="dxa"/>
          </w:tcPr>
          <w:p w14:paraId="7BD2325C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pilot lamp</w:t>
            </w:r>
          </w:p>
        </w:tc>
        <w:tc>
          <w:tcPr>
            <w:tcW w:w="1750" w:type="dxa"/>
          </w:tcPr>
          <w:p w14:paraId="007B05AE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LED pilot lamp</w:t>
            </w:r>
          </w:p>
        </w:tc>
        <w:tc>
          <w:tcPr>
            <w:tcW w:w="5812" w:type="dxa"/>
          </w:tcPr>
          <w:p w14:paraId="73734AD1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In order: POWER, WAN/LAN, WAN/LAN, four signal lights, WIFI</w:t>
            </w:r>
          </w:p>
        </w:tc>
      </w:tr>
      <w:tr w14:paraId="755679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2" w:type="dxa"/>
            <w:vMerge w:val="restart"/>
            <w:vAlign w:val="center"/>
          </w:tcPr>
          <w:p w14:paraId="46E53BD8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Power Supply/Power Consumption</w:t>
            </w:r>
          </w:p>
        </w:tc>
        <w:tc>
          <w:tcPr>
            <w:tcW w:w="1750" w:type="dxa"/>
          </w:tcPr>
          <w:p w14:paraId="26B86CCA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power supply mode</w:t>
            </w:r>
          </w:p>
        </w:tc>
        <w:tc>
          <w:tcPr>
            <w:tcW w:w="5812" w:type="dxa"/>
          </w:tcPr>
          <w:p w14:paraId="16BC7C52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Supports DC 12V/1A power supply, 24V PoE power supply, and 48V PoE power supply</w:t>
            </w:r>
          </w:p>
        </w:tc>
      </w:tr>
      <w:tr w14:paraId="30931D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2" w:type="dxa"/>
            <w:vMerge w:val="continue"/>
          </w:tcPr>
          <w:p w14:paraId="223311C3">
            <w:pPr>
              <w:rPr>
                <w:szCs w:val="21"/>
              </w:rPr>
            </w:pPr>
          </w:p>
        </w:tc>
        <w:tc>
          <w:tcPr>
            <w:tcW w:w="1750" w:type="dxa"/>
          </w:tcPr>
          <w:p w14:paraId="6097941B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Total Power of the Device</w:t>
            </w:r>
          </w:p>
        </w:tc>
        <w:tc>
          <w:tcPr>
            <w:tcW w:w="5812" w:type="dxa"/>
          </w:tcPr>
          <w:p w14:paraId="542EC53F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﹤6W</w:t>
            </w:r>
          </w:p>
        </w:tc>
      </w:tr>
      <w:tr w14:paraId="7D5765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2" w:type="dxa"/>
            <w:vMerge w:val="restart"/>
            <w:vAlign w:val="center"/>
          </w:tcPr>
          <w:p w14:paraId="7145A9FD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Product Accessories</w:t>
            </w:r>
          </w:p>
        </w:tc>
        <w:tc>
          <w:tcPr>
            <w:tcW w:w="1750" w:type="dxa"/>
          </w:tcPr>
          <w:p w14:paraId="2D4496FD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main engine</w:t>
            </w:r>
          </w:p>
        </w:tc>
        <w:tc>
          <w:tcPr>
            <w:tcW w:w="5812" w:type="dxa"/>
          </w:tcPr>
          <w:p w14:paraId="53621827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5.8G High-power Long-range Digital Wireless Bridge Host *1</w:t>
            </w:r>
          </w:p>
        </w:tc>
      </w:tr>
      <w:tr w14:paraId="5B489E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2" w:type="dxa"/>
            <w:vMerge w:val="continue"/>
          </w:tcPr>
          <w:p w14:paraId="6C964AC1">
            <w:pPr>
              <w:rPr>
                <w:szCs w:val="21"/>
              </w:rPr>
            </w:pPr>
          </w:p>
        </w:tc>
        <w:tc>
          <w:tcPr>
            <w:tcW w:w="1750" w:type="dxa"/>
            <w:vAlign w:val="center"/>
          </w:tcPr>
          <w:p w14:paraId="5018BC46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Power Adapter</w:t>
            </w:r>
          </w:p>
        </w:tc>
        <w:tc>
          <w:tcPr>
            <w:tcW w:w="5812" w:type="dxa"/>
          </w:tcPr>
          <w:p w14:paraId="63CA2CE2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24V 0.5A PoE power supply</w:t>
            </w:r>
          </w:p>
        </w:tc>
      </w:tr>
      <w:tr w14:paraId="54FA91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2" w:type="dxa"/>
            <w:vMerge w:val="continue"/>
          </w:tcPr>
          <w:p w14:paraId="518759A6">
            <w:pPr>
              <w:rPr>
                <w:szCs w:val="21"/>
              </w:rPr>
            </w:pPr>
          </w:p>
        </w:tc>
        <w:tc>
          <w:tcPr>
            <w:tcW w:w="1750" w:type="dxa"/>
            <w:vAlign w:val="center"/>
          </w:tcPr>
          <w:p w14:paraId="12D544E6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else</w:t>
            </w:r>
          </w:p>
        </w:tc>
        <w:tc>
          <w:tcPr>
            <w:tcW w:w="5812" w:type="dxa"/>
          </w:tcPr>
          <w:p w14:paraId="118E04BE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Stainless steel clamp *1</w:t>
            </w:r>
          </w:p>
          <w:p w14:paraId="582D2163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User Manual *1</w:t>
            </w:r>
          </w:p>
          <w:p w14:paraId="247ABEFA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Qualification Certificate *1</w:t>
            </w:r>
          </w:p>
        </w:tc>
      </w:tr>
      <w:tr w14:paraId="6C8D34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2" w:type="dxa"/>
            <w:vMerge w:val="restart"/>
            <w:vAlign w:val="center"/>
          </w:tcPr>
          <w:p w14:paraId="76F327CD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宋体" w:eastAsia="微软雅黑" w:cs="Times New Roman"/>
                <w:kern w:val="2"/>
                <w:sz w:val="21"/>
                <w:szCs w:val="21"/>
                <w:lang w:val="en-US" w:eastAsia="zh-CN" w:bidi="ar-SA"/>
              </w:rPr>
              <w:t>Appearance/Packaging/Weight</w:t>
            </w:r>
          </w:p>
        </w:tc>
        <w:tc>
          <w:tcPr>
            <w:tcW w:w="1750" w:type="dxa"/>
            <w:vAlign w:val="center"/>
          </w:tcPr>
          <w:p w14:paraId="754D9127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Appearance Color</w:t>
            </w:r>
          </w:p>
        </w:tc>
        <w:tc>
          <w:tcPr>
            <w:tcW w:w="5812" w:type="dxa"/>
          </w:tcPr>
          <w:p w14:paraId="1F38C2B1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white</w:t>
            </w:r>
          </w:p>
        </w:tc>
      </w:tr>
      <w:tr w14:paraId="1B0E82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2" w:type="dxa"/>
            <w:vMerge w:val="continue"/>
          </w:tcPr>
          <w:p w14:paraId="4365CC5E">
            <w:pPr>
              <w:rPr>
                <w:szCs w:val="21"/>
              </w:rPr>
            </w:pPr>
          </w:p>
        </w:tc>
        <w:tc>
          <w:tcPr>
            <w:tcW w:w="1750" w:type="dxa"/>
            <w:vAlign w:val="center"/>
          </w:tcPr>
          <w:p w14:paraId="375DE292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product size</w:t>
            </w:r>
          </w:p>
        </w:tc>
        <w:tc>
          <w:tcPr>
            <w:tcW w:w="5812" w:type="dxa"/>
          </w:tcPr>
          <w:p w14:paraId="42B9C21C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Φ200mm*131mm（Φ*H）</w:t>
            </w:r>
          </w:p>
        </w:tc>
      </w:tr>
      <w:tr w14:paraId="64D339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2" w:type="dxa"/>
            <w:vMerge w:val="continue"/>
          </w:tcPr>
          <w:p w14:paraId="76A4D78A">
            <w:pPr>
              <w:rPr>
                <w:szCs w:val="21"/>
              </w:rPr>
            </w:pPr>
          </w:p>
        </w:tc>
        <w:tc>
          <w:tcPr>
            <w:tcW w:w="1750" w:type="dxa"/>
            <w:vAlign w:val="center"/>
          </w:tcPr>
          <w:p w14:paraId="3E418B5B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packing measurement</w:t>
            </w:r>
          </w:p>
        </w:tc>
        <w:tc>
          <w:tcPr>
            <w:tcW w:w="5812" w:type="dxa"/>
          </w:tcPr>
          <w:p w14:paraId="029F28E5">
            <w:pPr>
              <w:rPr>
                <w:rFonts w:hint="eastAsia" w:eastAsia="宋体"/>
                <w:color w:val="000000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313*238*73 mm</w:t>
            </w:r>
          </w:p>
        </w:tc>
      </w:tr>
      <w:tr w14:paraId="6999BF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2" w:type="dxa"/>
            <w:vMerge w:val="continue"/>
          </w:tcPr>
          <w:p w14:paraId="18DD7C29">
            <w:pPr>
              <w:rPr>
                <w:szCs w:val="21"/>
              </w:rPr>
            </w:pPr>
          </w:p>
        </w:tc>
        <w:tc>
          <w:tcPr>
            <w:tcW w:w="1750" w:type="dxa"/>
            <w:vAlign w:val="center"/>
          </w:tcPr>
          <w:p w14:paraId="2CF95A42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Weight per unit</w:t>
            </w:r>
          </w:p>
        </w:tc>
        <w:tc>
          <w:tcPr>
            <w:tcW w:w="5812" w:type="dxa"/>
          </w:tcPr>
          <w:p w14:paraId="04C05271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0.89KG</w:t>
            </w:r>
          </w:p>
        </w:tc>
      </w:tr>
      <w:tr w14:paraId="0DB9B7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2" w:type="dxa"/>
            <w:vMerge w:val="continue"/>
          </w:tcPr>
          <w:p w14:paraId="63D08B01">
            <w:pPr>
              <w:rPr>
                <w:szCs w:val="21"/>
              </w:rPr>
            </w:pPr>
          </w:p>
        </w:tc>
        <w:tc>
          <w:tcPr>
            <w:tcW w:w="1750" w:type="dxa"/>
            <w:vAlign w:val="center"/>
          </w:tcPr>
          <w:p w14:paraId="72192EC7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carton size</w:t>
            </w:r>
          </w:p>
        </w:tc>
        <w:tc>
          <w:tcPr>
            <w:tcW w:w="5812" w:type="dxa"/>
          </w:tcPr>
          <w:p w14:paraId="48A70BAE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495*385*333 mm</w:t>
            </w:r>
          </w:p>
        </w:tc>
      </w:tr>
      <w:tr w14:paraId="0202FB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2" w:type="dxa"/>
            <w:vMerge w:val="continue"/>
          </w:tcPr>
          <w:p w14:paraId="045DC14E">
            <w:pPr>
              <w:rPr>
                <w:szCs w:val="21"/>
              </w:rPr>
            </w:pPr>
          </w:p>
        </w:tc>
        <w:tc>
          <w:tcPr>
            <w:tcW w:w="1750" w:type="dxa"/>
            <w:vAlign w:val="center"/>
          </w:tcPr>
          <w:p w14:paraId="41A87399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packing quantity</w:t>
            </w:r>
          </w:p>
        </w:tc>
        <w:tc>
          <w:tcPr>
            <w:tcW w:w="5812" w:type="dxa"/>
          </w:tcPr>
          <w:p w14:paraId="48A5E966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10 pieces per box</w:t>
            </w:r>
          </w:p>
        </w:tc>
      </w:tr>
      <w:tr w14:paraId="0BA6C2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2" w:type="dxa"/>
            <w:vMerge w:val="continue"/>
          </w:tcPr>
          <w:p w14:paraId="0BC44782">
            <w:pPr>
              <w:rPr>
                <w:szCs w:val="21"/>
              </w:rPr>
            </w:pPr>
          </w:p>
        </w:tc>
        <w:tc>
          <w:tcPr>
            <w:tcW w:w="1750" w:type="dxa"/>
            <w:vAlign w:val="center"/>
          </w:tcPr>
          <w:p w14:paraId="6165B56F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net weight</w:t>
            </w:r>
          </w:p>
        </w:tc>
        <w:tc>
          <w:tcPr>
            <w:tcW w:w="5812" w:type="dxa"/>
          </w:tcPr>
          <w:p w14:paraId="52E35E2F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8.9KG</w:t>
            </w:r>
          </w:p>
        </w:tc>
      </w:tr>
      <w:tr w14:paraId="5566A1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2" w:type="dxa"/>
            <w:vMerge w:val="continue"/>
          </w:tcPr>
          <w:p w14:paraId="58BDFCDF">
            <w:pPr>
              <w:rPr>
                <w:szCs w:val="21"/>
              </w:rPr>
            </w:pPr>
          </w:p>
        </w:tc>
        <w:tc>
          <w:tcPr>
            <w:tcW w:w="1750" w:type="dxa"/>
            <w:vAlign w:val="center"/>
          </w:tcPr>
          <w:p w14:paraId="7DCF2EB7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rough weight</w:t>
            </w:r>
          </w:p>
        </w:tc>
        <w:tc>
          <w:tcPr>
            <w:tcW w:w="5812" w:type="dxa"/>
          </w:tcPr>
          <w:p w14:paraId="0612CFCB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10.2KG</w:t>
            </w:r>
          </w:p>
        </w:tc>
      </w:tr>
      <w:tr w14:paraId="071E6F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2" w:type="dxa"/>
            <w:vMerge w:val="restart"/>
            <w:vAlign w:val="center"/>
          </w:tcPr>
          <w:p w14:paraId="35A9C306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else</w:t>
            </w:r>
          </w:p>
        </w:tc>
        <w:tc>
          <w:tcPr>
            <w:tcW w:w="1750" w:type="dxa"/>
          </w:tcPr>
          <w:p w14:paraId="4827FB32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The optimal power supply distance for a PoE network cable</w:t>
            </w:r>
          </w:p>
        </w:tc>
        <w:tc>
          <w:tcPr>
            <w:tcW w:w="5812" w:type="dxa"/>
            <w:vAlign w:val="center"/>
          </w:tcPr>
          <w:p w14:paraId="6703AFC4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Within 65 meters (using Category 5e or higher network cables)</w:t>
            </w:r>
          </w:p>
        </w:tc>
      </w:tr>
      <w:tr w14:paraId="249A9E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2" w:type="dxa"/>
            <w:vMerge w:val="continue"/>
          </w:tcPr>
          <w:p w14:paraId="421E59D4">
            <w:pPr>
              <w:rPr>
                <w:szCs w:val="21"/>
              </w:rPr>
            </w:pPr>
          </w:p>
        </w:tc>
        <w:tc>
          <w:tcPr>
            <w:tcW w:w="1750" w:type="dxa"/>
          </w:tcPr>
          <w:p w14:paraId="43442C4E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Bridge Distance</w:t>
            </w:r>
          </w:p>
        </w:tc>
        <w:tc>
          <w:tcPr>
            <w:tcW w:w="5812" w:type="dxa"/>
          </w:tcPr>
          <w:p w14:paraId="1DD2923E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0–3 km</w:t>
            </w:r>
          </w:p>
        </w:tc>
      </w:tr>
      <w:tr w14:paraId="7BBEF6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2" w:type="dxa"/>
            <w:vMerge w:val="continue"/>
          </w:tcPr>
          <w:p w14:paraId="4005D373">
            <w:pPr>
              <w:rPr>
                <w:szCs w:val="21"/>
              </w:rPr>
            </w:pPr>
          </w:p>
        </w:tc>
        <w:tc>
          <w:tcPr>
            <w:tcW w:w="1750" w:type="dxa"/>
          </w:tcPr>
          <w:p w14:paraId="379A7573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IPC Load Capacity</w:t>
            </w:r>
          </w:p>
        </w:tc>
        <w:tc>
          <w:tcPr>
            <w:tcW w:w="5812" w:type="dxa"/>
          </w:tcPr>
          <w:p w14:paraId="04FB53A9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Route 15: No lag, no delay</w:t>
            </w:r>
          </w:p>
        </w:tc>
      </w:tr>
      <w:tr w14:paraId="6A80EC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2" w:type="dxa"/>
            <w:vMerge w:val="continue"/>
          </w:tcPr>
          <w:p w14:paraId="1AD5CDB8">
            <w:pPr>
              <w:rPr>
                <w:szCs w:val="21"/>
              </w:rPr>
            </w:pPr>
          </w:p>
        </w:tc>
        <w:tc>
          <w:tcPr>
            <w:tcW w:w="1750" w:type="dxa"/>
          </w:tcPr>
          <w:p w14:paraId="0D498B1C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way to install</w:t>
            </w:r>
          </w:p>
        </w:tc>
        <w:tc>
          <w:tcPr>
            <w:tcW w:w="5812" w:type="dxa"/>
          </w:tcPr>
          <w:p w14:paraId="2BDC57F8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Rod mounting, Wall-mounted installation, Support bracket installation</w:t>
            </w:r>
          </w:p>
        </w:tc>
      </w:tr>
      <w:tr w14:paraId="151523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2" w:type="dxa"/>
            <w:vMerge w:val="continue"/>
          </w:tcPr>
          <w:p w14:paraId="48F35262">
            <w:pPr>
              <w:rPr>
                <w:szCs w:val="21"/>
              </w:rPr>
            </w:pPr>
          </w:p>
        </w:tc>
        <w:tc>
          <w:tcPr>
            <w:tcW w:w="1750" w:type="dxa"/>
          </w:tcPr>
          <w:p w14:paraId="511D8460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levels of protection</w:t>
            </w:r>
          </w:p>
        </w:tc>
        <w:tc>
          <w:tcPr>
            <w:tcW w:w="5812" w:type="dxa"/>
          </w:tcPr>
          <w:p w14:paraId="448CE6CD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IP65 rating; 2 kV lightning protection</w:t>
            </w:r>
          </w:p>
        </w:tc>
      </w:tr>
      <w:tr w14:paraId="2E3B70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64" w:type="dxa"/>
            <w:gridSpan w:val="3"/>
            <w:shd w:val="clear" w:color="auto" w:fill="E6E6E6"/>
          </w:tcPr>
          <w:p w14:paraId="659DC81E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b/>
                <w:kern w:val="2"/>
                <w:sz w:val="21"/>
                <w:szCs w:val="21"/>
                <w:lang w:val="en-US" w:eastAsia="zh-CN" w:bidi="ar-SA"/>
              </w:rPr>
              <w:t>Software Specifications</w:t>
            </w:r>
          </w:p>
        </w:tc>
      </w:tr>
      <w:tr w14:paraId="47ED58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2" w:type="dxa"/>
            <w:vMerge w:val="restart"/>
            <w:vAlign w:val="center"/>
          </w:tcPr>
          <w:p w14:paraId="0BF07E16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System Operation Mode</w:t>
            </w:r>
          </w:p>
        </w:tc>
        <w:tc>
          <w:tcPr>
            <w:tcW w:w="1750" w:type="dxa"/>
            <w:vAlign w:val="center"/>
          </w:tcPr>
          <w:p w14:paraId="2046F81F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Normal Mode</w:t>
            </w:r>
          </w:p>
        </w:tc>
        <w:tc>
          <w:tcPr>
            <w:tcW w:w="5812" w:type="dxa"/>
          </w:tcPr>
          <w:p w14:paraId="1B26CD5B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This mode supports AP mode, client mode, and relay mode.</w:t>
            </w:r>
          </w:p>
          <w:p w14:paraId="66A49688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Support manual pairing bridging (in this mode, the digital display function is disabled)</w:t>
            </w:r>
          </w:p>
        </w:tc>
      </w:tr>
      <w:tr w14:paraId="045FCD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2" w:type="dxa"/>
            <w:vMerge w:val="continue"/>
            <w:vAlign w:val="center"/>
          </w:tcPr>
          <w:p w14:paraId="1AE6D9B2">
            <w:pPr>
              <w:rPr>
                <w:szCs w:val="21"/>
              </w:rPr>
            </w:pPr>
          </w:p>
        </w:tc>
        <w:tc>
          <w:tcPr>
            <w:tcW w:w="1750" w:type="dxa"/>
          </w:tcPr>
          <w:p w14:paraId="77DA0ABC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Digital Display Mode</w:t>
            </w:r>
          </w:p>
        </w:tc>
        <w:tc>
          <w:tcPr>
            <w:tcW w:w="5812" w:type="dxa"/>
          </w:tcPr>
          <w:p w14:paraId="4B22C89D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Auto-pairing supports one-click digital pairing without entering the web interface for manual pairing</w:t>
            </w:r>
          </w:p>
        </w:tc>
      </w:tr>
      <w:tr w14:paraId="2C0636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2" w:type="dxa"/>
            <w:vMerge w:val="restart"/>
            <w:vAlign w:val="center"/>
          </w:tcPr>
          <w:p w14:paraId="6147FC8E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Bridge Networking Method</w:t>
            </w:r>
          </w:p>
        </w:tc>
        <w:tc>
          <w:tcPr>
            <w:tcW w:w="1750" w:type="dxa"/>
          </w:tcPr>
          <w:p w14:paraId="4FE31C65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Digital Pairing</w:t>
            </w:r>
          </w:p>
        </w:tc>
        <w:tc>
          <w:tcPr>
            <w:tcW w:w="5812" w:type="dxa"/>
          </w:tcPr>
          <w:p w14:paraId="6733C2F1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Supports digital display and one-click pairing – convenient, simple, and fast</w:t>
            </w:r>
          </w:p>
        </w:tc>
      </w:tr>
      <w:tr w14:paraId="31DF80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2" w:type="dxa"/>
            <w:vMerge w:val="continue"/>
          </w:tcPr>
          <w:p w14:paraId="11D88F75">
            <w:pPr>
              <w:rPr>
                <w:szCs w:val="21"/>
              </w:rPr>
            </w:pPr>
          </w:p>
        </w:tc>
        <w:tc>
          <w:tcPr>
            <w:tcW w:w="1750" w:type="dxa"/>
          </w:tcPr>
          <w:p w14:paraId="77E19634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Manual Pairing</w:t>
            </w:r>
          </w:p>
        </w:tc>
        <w:tc>
          <w:tcPr>
            <w:tcW w:w="5812" w:type="dxa"/>
          </w:tcPr>
          <w:p w14:paraId="07B6A7BF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support</w:t>
            </w:r>
          </w:p>
        </w:tc>
      </w:tr>
      <w:tr w14:paraId="5A1852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2" w:type="dxa"/>
            <w:vMerge w:val="continue"/>
          </w:tcPr>
          <w:p w14:paraId="43594089">
            <w:pPr>
              <w:rPr>
                <w:szCs w:val="21"/>
              </w:rPr>
            </w:pPr>
          </w:p>
        </w:tc>
        <w:tc>
          <w:tcPr>
            <w:tcW w:w="1750" w:type="dxa"/>
          </w:tcPr>
          <w:p w14:paraId="27E420D3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Point-to-point bridging</w:t>
            </w:r>
          </w:p>
        </w:tc>
        <w:tc>
          <w:tcPr>
            <w:tcW w:w="5812" w:type="dxa"/>
          </w:tcPr>
          <w:p w14:paraId="60ECA726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support</w:t>
            </w:r>
          </w:p>
        </w:tc>
      </w:tr>
      <w:tr w14:paraId="5818DD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2" w:type="dxa"/>
            <w:vMerge w:val="continue"/>
          </w:tcPr>
          <w:p w14:paraId="73B8598D">
            <w:pPr>
              <w:rPr>
                <w:szCs w:val="21"/>
              </w:rPr>
            </w:pPr>
          </w:p>
        </w:tc>
        <w:tc>
          <w:tcPr>
            <w:tcW w:w="1750" w:type="dxa"/>
          </w:tcPr>
          <w:p w14:paraId="20F40DDB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Point-to-multipoint bridging</w:t>
            </w:r>
          </w:p>
        </w:tc>
        <w:tc>
          <w:tcPr>
            <w:tcW w:w="5812" w:type="dxa"/>
          </w:tcPr>
          <w:p w14:paraId="70F9ED34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support</w:t>
            </w:r>
          </w:p>
        </w:tc>
      </w:tr>
      <w:tr w14:paraId="15C305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2" w:type="dxa"/>
            <w:vMerge w:val="restart"/>
            <w:vAlign w:val="center"/>
          </w:tcPr>
          <w:p w14:paraId="312EE50F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network</w:t>
            </w:r>
          </w:p>
        </w:tc>
        <w:tc>
          <w:tcPr>
            <w:tcW w:w="1750" w:type="dxa"/>
          </w:tcPr>
          <w:p w14:paraId="2862A712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work pattern</w:t>
            </w:r>
          </w:p>
        </w:tc>
        <w:tc>
          <w:tcPr>
            <w:tcW w:w="5812" w:type="dxa"/>
          </w:tcPr>
          <w:p w14:paraId="4FEF5E5B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Wireless Bridge, AP Mode, Client Mode, Relay Mode</w:t>
            </w:r>
          </w:p>
        </w:tc>
      </w:tr>
      <w:tr w14:paraId="346F66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2" w:type="dxa"/>
            <w:vMerge w:val="continue"/>
            <w:vAlign w:val="center"/>
          </w:tcPr>
          <w:p w14:paraId="5FCB49DD">
            <w:pPr>
              <w:rPr>
                <w:szCs w:val="21"/>
              </w:rPr>
            </w:pPr>
          </w:p>
        </w:tc>
        <w:tc>
          <w:tcPr>
            <w:tcW w:w="1750" w:type="dxa"/>
            <w:vAlign w:val="center"/>
          </w:tcPr>
          <w:p w14:paraId="7E66198F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LAN Configuration</w:t>
            </w:r>
          </w:p>
        </w:tc>
        <w:tc>
          <w:tcPr>
            <w:tcW w:w="5812" w:type="dxa"/>
          </w:tcPr>
          <w:p w14:paraId="3025F379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support</w:t>
            </w:r>
          </w:p>
        </w:tc>
      </w:tr>
      <w:tr w14:paraId="1513DD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2" w:type="dxa"/>
            <w:vMerge w:val="continue"/>
            <w:vAlign w:val="center"/>
          </w:tcPr>
          <w:p w14:paraId="17ACAEB6">
            <w:pPr>
              <w:rPr>
                <w:szCs w:val="21"/>
              </w:rPr>
            </w:pPr>
          </w:p>
        </w:tc>
        <w:tc>
          <w:tcPr>
            <w:tcW w:w="1750" w:type="dxa"/>
            <w:vAlign w:val="center"/>
          </w:tcPr>
          <w:p w14:paraId="732E39AA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DHCP server</w:t>
            </w:r>
          </w:p>
        </w:tc>
        <w:tc>
          <w:tcPr>
            <w:tcW w:w="5812" w:type="dxa"/>
          </w:tcPr>
          <w:p w14:paraId="3C28A461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support</w:t>
            </w:r>
          </w:p>
        </w:tc>
      </w:tr>
      <w:tr w14:paraId="4B0729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2" w:type="dxa"/>
            <w:vMerge w:val="continue"/>
            <w:vAlign w:val="center"/>
          </w:tcPr>
          <w:p w14:paraId="21DF20CF">
            <w:pPr>
              <w:rPr>
                <w:szCs w:val="21"/>
              </w:rPr>
            </w:pPr>
          </w:p>
        </w:tc>
        <w:tc>
          <w:tcPr>
            <w:tcW w:w="1750" w:type="dxa"/>
            <w:vAlign w:val="center"/>
          </w:tcPr>
          <w:p w14:paraId="60BCB625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Wireless Network Status Display</w:t>
            </w:r>
          </w:p>
        </w:tc>
        <w:tc>
          <w:tcPr>
            <w:tcW w:w="5812" w:type="dxa"/>
            <w:vAlign w:val="center"/>
          </w:tcPr>
          <w:p w14:paraId="294FC725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support</w:t>
            </w:r>
          </w:p>
        </w:tc>
      </w:tr>
      <w:tr w14:paraId="2AA41E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2" w:type="dxa"/>
            <w:vMerge w:val="restart"/>
            <w:vAlign w:val="center"/>
          </w:tcPr>
          <w:p w14:paraId="03480DE4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Wireless Settings</w:t>
            </w:r>
          </w:p>
        </w:tc>
        <w:tc>
          <w:tcPr>
            <w:tcW w:w="1750" w:type="dxa"/>
            <w:vAlign w:val="center"/>
          </w:tcPr>
          <w:p w14:paraId="002E23B2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SSID revise</w:t>
            </w:r>
          </w:p>
        </w:tc>
        <w:tc>
          <w:tcPr>
            <w:tcW w:w="5812" w:type="dxa"/>
          </w:tcPr>
          <w:p w14:paraId="7EB3B773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support</w:t>
            </w:r>
          </w:p>
        </w:tc>
      </w:tr>
      <w:tr w14:paraId="5DF406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2" w:type="dxa"/>
            <w:vMerge w:val="continue"/>
            <w:vAlign w:val="center"/>
          </w:tcPr>
          <w:p w14:paraId="09EDA3DE">
            <w:pPr>
              <w:rPr>
                <w:szCs w:val="21"/>
              </w:rPr>
            </w:pPr>
          </w:p>
        </w:tc>
        <w:tc>
          <w:tcPr>
            <w:tcW w:w="1750" w:type="dxa"/>
            <w:vAlign w:val="center"/>
          </w:tcPr>
          <w:p w14:paraId="76278AF1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SSID hide</w:t>
            </w:r>
          </w:p>
        </w:tc>
        <w:tc>
          <w:tcPr>
            <w:tcW w:w="5812" w:type="dxa"/>
          </w:tcPr>
          <w:p w14:paraId="2BE52464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support</w:t>
            </w:r>
          </w:p>
        </w:tc>
      </w:tr>
      <w:tr w14:paraId="0FEE44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2" w:type="dxa"/>
            <w:vMerge w:val="continue"/>
          </w:tcPr>
          <w:p w14:paraId="528D0D43">
            <w:pPr>
              <w:rPr>
                <w:szCs w:val="21"/>
              </w:rPr>
            </w:pPr>
          </w:p>
        </w:tc>
        <w:tc>
          <w:tcPr>
            <w:tcW w:w="1750" w:type="dxa"/>
            <w:vAlign w:val="center"/>
          </w:tcPr>
          <w:p w14:paraId="060F85CD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way of encryption</w:t>
            </w:r>
          </w:p>
        </w:tc>
        <w:tc>
          <w:tcPr>
            <w:tcW w:w="5812" w:type="dxa"/>
          </w:tcPr>
          <w:p w14:paraId="35CDFC9E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Tahoma" w:eastAsia="微软雅黑" w:cs="Tahoma"/>
                <w:color w:val="666666"/>
                <w:kern w:val="2"/>
                <w:sz w:val="19"/>
                <w:szCs w:val="19"/>
                <w:shd w:val="clear" w:color="auto" w:fill="FFFFFF"/>
                <w:lang w:val="en-US" w:eastAsia="zh-CN" w:bidi="ar-SA"/>
              </w:rPr>
              <w:t>WPA-PSK，WPA2-PSK</w:t>
            </w:r>
          </w:p>
        </w:tc>
      </w:tr>
      <w:tr w14:paraId="487562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2" w:type="dxa"/>
            <w:vMerge w:val="continue"/>
          </w:tcPr>
          <w:p w14:paraId="51226442">
            <w:pPr>
              <w:rPr>
                <w:szCs w:val="21"/>
              </w:rPr>
            </w:pPr>
          </w:p>
        </w:tc>
        <w:tc>
          <w:tcPr>
            <w:tcW w:w="1750" w:type="dxa"/>
            <w:vAlign w:val="center"/>
          </w:tcPr>
          <w:p w14:paraId="5FB47B1E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Bandwidth Settings</w:t>
            </w:r>
          </w:p>
        </w:tc>
        <w:tc>
          <w:tcPr>
            <w:tcW w:w="5812" w:type="dxa"/>
          </w:tcPr>
          <w:p w14:paraId="1B46E508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support</w:t>
            </w:r>
          </w:p>
        </w:tc>
      </w:tr>
      <w:tr w14:paraId="5D40F8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2" w:type="dxa"/>
            <w:vMerge w:val="continue"/>
          </w:tcPr>
          <w:p w14:paraId="1BFD5C75">
            <w:pPr>
              <w:rPr>
                <w:szCs w:val="21"/>
              </w:rPr>
            </w:pPr>
          </w:p>
        </w:tc>
        <w:tc>
          <w:tcPr>
            <w:tcW w:w="1750" w:type="dxa"/>
            <w:vAlign w:val="center"/>
          </w:tcPr>
          <w:p w14:paraId="568BE1A3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Wireless Channel Modification</w:t>
            </w:r>
          </w:p>
        </w:tc>
        <w:tc>
          <w:tcPr>
            <w:tcW w:w="5812" w:type="dxa"/>
          </w:tcPr>
          <w:p w14:paraId="50A4932B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Supports spread spectrum</w:t>
            </w:r>
          </w:p>
        </w:tc>
      </w:tr>
      <w:tr w14:paraId="33ED4A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2" w:type="dxa"/>
            <w:vMerge w:val="continue"/>
          </w:tcPr>
          <w:p w14:paraId="1D2FEF27">
            <w:pPr>
              <w:rPr>
                <w:szCs w:val="21"/>
              </w:rPr>
            </w:pPr>
          </w:p>
        </w:tc>
        <w:tc>
          <w:tcPr>
            <w:tcW w:w="1750" w:type="dxa"/>
            <w:vAlign w:val="center"/>
          </w:tcPr>
          <w:p w14:paraId="70F16C0C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Wireless User Isolation</w:t>
            </w:r>
          </w:p>
        </w:tc>
        <w:tc>
          <w:tcPr>
            <w:tcW w:w="5812" w:type="dxa"/>
          </w:tcPr>
          <w:p w14:paraId="3A763D18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support</w:t>
            </w:r>
          </w:p>
        </w:tc>
      </w:tr>
      <w:tr w14:paraId="521642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2" w:type="dxa"/>
            <w:vMerge w:val="continue"/>
          </w:tcPr>
          <w:p w14:paraId="3AD10BE6">
            <w:pPr>
              <w:rPr>
                <w:szCs w:val="21"/>
              </w:rPr>
            </w:pPr>
          </w:p>
        </w:tc>
        <w:tc>
          <w:tcPr>
            <w:tcW w:w="1750" w:type="dxa"/>
            <w:vAlign w:val="center"/>
          </w:tcPr>
          <w:p w14:paraId="4AF82E90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Wireless Power Regulation</w:t>
            </w:r>
          </w:p>
        </w:tc>
        <w:tc>
          <w:tcPr>
            <w:tcW w:w="5812" w:type="dxa"/>
          </w:tcPr>
          <w:p w14:paraId="49804180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support</w:t>
            </w:r>
          </w:p>
        </w:tc>
      </w:tr>
      <w:tr w14:paraId="7AA401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2" w:type="dxa"/>
            <w:vMerge w:val="continue"/>
            <w:vAlign w:val="center"/>
          </w:tcPr>
          <w:p w14:paraId="1C9776BE">
            <w:pPr>
              <w:rPr>
                <w:szCs w:val="21"/>
              </w:rPr>
            </w:pPr>
          </w:p>
        </w:tc>
        <w:tc>
          <w:tcPr>
            <w:tcW w:w="1750" w:type="dxa"/>
            <w:vAlign w:val="center"/>
          </w:tcPr>
          <w:p w14:paraId="0052C75D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multi SSID</w:t>
            </w:r>
          </w:p>
        </w:tc>
        <w:tc>
          <w:tcPr>
            <w:tcW w:w="5812" w:type="dxa"/>
          </w:tcPr>
          <w:p w14:paraId="504E8AAF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support</w:t>
            </w:r>
          </w:p>
        </w:tc>
      </w:tr>
      <w:tr w14:paraId="595874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2" w:type="dxa"/>
            <w:vMerge w:val="restart"/>
            <w:vAlign w:val="center"/>
          </w:tcPr>
          <w:p w14:paraId="60C83633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system management</w:t>
            </w:r>
          </w:p>
        </w:tc>
        <w:tc>
          <w:tcPr>
            <w:tcW w:w="1750" w:type="dxa"/>
            <w:vAlign w:val="center"/>
          </w:tcPr>
          <w:p w14:paraId="48A8F552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Web interface management</w:t>
            </w:r>
          </w:p>
        </w:tc>
        <w:tc>
          <w:tcPr>
            <w:tcW w:w="5812" w:type="dxa"/>
          </w:tcPr>
          <w:p w14:paraId="28DEF418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support</w:t>
            </w:r>
          </w:p>
        </w:tc>
      </w:tr>
      <w:tr w14:paraId="29DE3A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2" w:type="dxa"/>
            <w:vMerge w:val="continue"/>
            <w:vAlign w:val="center"/>
          </w:tcPr>
          <w:p w14:paraId="1354E3A3">
            <w:pPr>
              <w:rPr>
                <w:szCs w:val="21"/>
              </w:rPr>
            </w:pPr>
          </w:p>
        </w:tc>
        <w:tc>
          <w:tcPr>
            <w:tcW w:w="1750" w:type="dxa"/>
            <w:vAlign w:val="center"/>
          </w:tcPr>
          <w:p w14:paraId="051EFB6A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SL</w:t>
            </w:r>
          </w:p>
        </w:tc>
        <w:tc>
          <w:tcPr>
            <w:tcW w:w="5812" w:type="dxa"/>
          </w:tcPr>
          <w:p w14:paraId="6E8057C6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Supports Chinese/English</w:t>
            </w:r>
          </w:p>
        </w:tc>
      </w:tr>
      <w:tr w14:paraId="0E941A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2" w:type="dxa"/>
            <w:vMerge w:val="continue"/>
            <w:vAlign w:val="center"/>
          </w:tcPr>
          <w:p w14:paraId="35BEE729">
            <w:pPr>
              <w:rPr>
                <w:szCs w:val="21"/>
              </w:rPr>
            </w:pPr>
          </w:p>
        </w:tc>
        <w:tc>
          <w:tcPr>
            <w:tcW w:w="1750" w:type="dxa"/>
            <w:vAlign w:val="center"/>
          </w:tcPr>
          <w:p w14:paraId="3B745ED9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softdog</w:t>
            </w:r>
          </w:p>
        </w:tc>
        <w:tc>
          <w:tcPr>
            <w:tcW w:w="5812" w:type="dxa"/>
          </w:tcPr>
          <w:p w14:paraId="49192742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support</w:t>
            </w:r>
          </w:p>
        </w:tc>
      </w:tr>
      <w:tr w14:paraId="43EA1E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2" w:type="dxa"/>
            <w:vMerge w:val="continue"/>
            <w:vAlign w:val="center"/>
          </w:tcPr>
          <w:p w14:paraId="47CFDC1B">
            <w:pPr>
              <w:rPr>
                <w:szCs w:val="21"/>
              </w:rPr>
            </w:pPr>
          </w:p>
        </w:tc>
        <w:tc>
          <w:tcPr>
            <w:tcW w:w="1750" w:type="dxa"/>
            <w:vAlign w:val="center"/>
          </w:tcPr>
          <w:p w14:paraId="4E6423AE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Reset定时 restart</w:t>
            </w:r>
          </w:p>
        </w:tc>
        <w:tc>
          <w:tcPr>
            <w:tcW w:w="5812" w:type="dxa"/>
          </w:tcPr>
          <w:p w14:paraId="216A3C3D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support</w:t>
            </w:r>
          </w:p>
        </w:tc>
      </w:tr>
      <w:tr w14:paraId="7D0E6D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2" w:type="dxa"/>
            <w:vMerge w:val="continue"/>
          </w:tcPr>
          <w:p w14:paraId="0B90E7F6">
            <w:pPr>
              <w:rPr>
                <w:szCs w:val="21"/>
              </w:rPr>
            </w:pPr>
          </w:p>
        </w:tc>
        <w:tc>
          <w:tcPr>
            <w:tcW w:w="1750" w:type="dxa"/>
            <w:vAlign w:val="center"/>
          </w:tcPr>
          <w:p w14:paraId="45DA6781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user management</w:t>
            </w:r>
          </w:p>
        </w:tc>
        <w:tc>
          <w:tcPr>
            <w:tcW w:w="5812" w:type="dxa"/>
          </w:tcPr>
          <w:p w14:paraId="6A7FE1E3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support</w:t>
            </w:r>
          </w:p>
        </w:tc>
      </w:tr>
      <w:tr w14:paraId="6ED480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2" w:type="dxa"/>
            <w:vMerge w:val="continue"/>
          </w:tcPr>
          <w:p w14:paraId="1E6720D1">
            <w:pPr>
              <w:rPr>
                <w:szCs w:val="21"/>
              </w:rPr>
            </w:pPr>
          </w:p>
        </w:tc>
        <w:tc>
          <w:tcPr>
            <w:tcW w:w="1750" w:type="dxa"/>
            <w:vAlign w:val="center"/>
          </w:tcPr>
          <w:p w14:paraId="3D28B9EE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firmware upgrade</w:t>
            </w:r>
          </w:p>
        </w:tc>
        <w:tc>
          <w:tcPr>
            <w:tcW w:w="5812" w:type="dxa"/>
          </w:tcPr>
          <w:p w14:paraId="7019DBE1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support</w:t>
            </w:r>
          </w:p>
        </w:tc>
      </w:tr>
      <w:tr w14:paraId="6A8669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2" w:type="dxa"/>
            <w:vMerge w:val="continue"/>
          </w:tcPr>
          <w:p w14:paraId="3DBE618F">
            <w:pPr>
              <w:rPr>
                <w:szCs w:val="21"/>
              </w:rPr>
            </w:pPr>
          </w:p>
        </w:tc>
        <w:tc>
          <w:tcPr>
            <w:tcW w:w="1750" w:type="dxa"/>
          </w:tcPr>
          <w:p w14:paraId="0ED4AF70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Firmware File Import and Export</w:t>
            </w:r>
          </w:p>
        </w:tc>
        <w:tc>
          <w:tcPr>
            <w:tcW w:w="5812" w:type="dxa"/>
            <w:vAlign w:val="center"/>
          </w:tcPr>
          <w:p w14:paraId="0CC615EF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Calibri" w:eastAsia="微软雅黑" w:cs="Times New Roman"/>
                <w:kern w:val="2"/>
                <w:sz w:val="21"/>
                <w:szCs w:val="21"/>
                <w:lang w:val="en-US" w:eastAsia="zh-CN" w:bidi="ar-SA"/>
              </w:rPr>
              <w:t>support</w:t>
            </w:r>
          </w:p>
        </w:tc>
      </w:tr>
    </w:tbl>
    <w:p w14:paraId="336D73F3">
      <w:pPr>
        <w:spacing w:before="312" w:beforeLines="100" w:after="312" w:afterLines="100" w:line="360" w:lineRule="auto"/>
        <w:rPr>
          <w:rFonts w:ascii="微软雅黑" w:hAnsi="微软雅黑" w:eastAsia="微软雅黑"/>
          <w:b/>
          <w:color w:val="003366"/>
          <w:sz w:val="28"/>
          <w:szCs w:val="28"/>
        </w:rPr>
      </w:pPr>
    </w:p>
    <w:p w14:paraId="06876746">
      <w:pPr>
        <w:spacing w:before="312" w:beforeLines="100" w:after="312" w:afterLines="100" w:line="360" w:lineRule="auto"/>
        <w:rPr>
          <w:rFonts w:ascii="微软雅黑" w:hAnsi="微软雅黑" w:eastAsia="微软雅黑"/>
          <w:b/>
          <w:color w:val="003366"/>
          <w:sz w:val="28"/>
          <w:szCs w:val="28"/>
        </w:rPr>
      </w:pPr>
    </w:p>
    <w:p w14:paraId="6F05F0E4">
      <w:pPr>
        <w:spacing w:before="312" w:beforeLines="100" w:after="312" w:afterLines="100" w:line="360" w:lineRule="auto"/>
        <w:rPr>
          <w:rFonts w:ascii="微软雅黑" w:hAnsi="微软雅黑" w:eastAsia="微软雅黑"/>
          <w:b/>
          <w:color w:val="003366"/>
          <w:sz w:val="28"/>
          <w:szCs w:val="28"/>
        </w:rPr>
      </w:pPr>
    </w:p>
    <w:p w14:paraId="258BED4C">
      <w:pPr>
        <w:spacing w:before="312" w:beforeLines="100" w:after="312" w:afterLines="100" w:line="360" w:lineRule="auto"/>
        <w:rPr>
          <w:rFonts w:ascii="微软雅黑" w:hAnsi="微软雅黑" w:eastAsia="微软雅黑"/>
          <w:b/>
          <w:color w:val="003366"/>
          <w:sz w:val="28"/>
          <w:szCs w:val="28"/>
        </w:rPr>
      </w:pPr>
    </w:p>
    <w:p w14:paraId="443B5A84">
      <w:pPr>
        <w:spacing w:before="312" w:beforeLines="100" w:after="312" w:afterLines="100" w:line="360" w:lineRule="auto"/>
        <w:rPr>
          <w:rFonts w:ascii="微软雅黑" w:hAnsi="微软雅黑" w:eastAsia="微软雅黑"/>
          <w:b/>
          <w:color w:val="003366"/>
          <w:sz w:val="28"/>
          <w:szCs w:val="28"/>
        </w:rPr>
      </w:pPr>
    </w:p>
    <w:p w14:paraId="4112A1A0">
      <w:pPr>
        <w:spacing w:before="312" w:beforeLines="100" w:after="312" w:afterLines="100" w:line="360" w:lineRule="auto"/>
        <w:rPr>
          <w:rFonts w:hint="eastAsia" w:ascii="微软雅黑" w:hAnsi="微软雅黑" w:eastAsia="微软雅黑"/>
          <w:b/>
          <w:color w:val="003366"/>
          <w:sz w:val="28"/>
          <w:szCs w:val="28"/>
          <w:lang w:eastAsia="zh-CN"/>
        </w:rPr>
      </w:pPr>
      <w:r>
        <w:rPr>
          <w:rFonts w:hint="eastAsia" w:ascii="Times New Roman" w:hAnsi="微软雅黑" w:eastAsia="微软雅黑" w:cs="Times New Roman"/>
          <w:b/>
          <w:color w:val="003366"/>
          <w:kern w:val="2"/>
          <w:sz w:val="28"/>
          <w:szCs w:val="28"/>
          <w:lang w:val="en-US" w:eastAsia="zh-CN" w:bidi="ar-SA"/>
        </w:rPr>
        <w:t>interface specification</w:t>
      </w:r>
    </w:p>
    <w:p w14:paraId="7D20D152">
      <w:pPr>
        <w:jc w:val="center"/>
        <w:rPr>
          <w:sz w:val="24"/>
          <w:szCs w:val="24"/>
        </w:rPr>
      </w:pPr>
      <w:r>
        <w:pict>
          <v:shape id="_x0000_i1026" o:spt="75" type="#_x0000_t75" style="height:256pt;width:248pt;" filled="f" o:preferrelative="t" stroked="f" coordsize="21600,21600">
            <v:path/>
            <v:fill on="f" focussize="0,0"/>
            <v:stroke on="f" joinstyle="miter"/>
            <v:imagedata r:id="rId6" o:title=""/>
            <o:lock v:ext="edit" aspectratio="t"/>
            <w10:wrap type="none"/>
            <w10:anchorlock/>
          </v:shape>
        </w:pict>
      </w:r>
    </w:p>
    <w:p w14:paraId="7631DAF0">
      <w:pPr>
        <w:spacing w:before="312" w:beforeLines="100" w:after="312" w:afterLines="100" w:line="360" w:lineRule="auto"/>
        <w:rPr>
          <w:rFonts w:hint="eastAsia" w:ascii="微软雅黑" w:hAnsi="微软雅黑" w:eastAsia="微软雅黑"/>
          <w:b/>
          <w:color w:val="003366"/>
          <w:sz w:val="28"/>
          <w:szCs w:val="28"/>
          <w:lang w:eastAsia="zh-CN"/>
        </w:rPr>
      </w:pPr>
      <w:r>
        <w:rPr>
          <w:rFonts w:hint="eastAsia" w:ascii="Times New Roman" w:hAnsi="微软雅黑" w:eastAsia="微软雅黑" w:cs="Times New Roman"/>
          <w:b/>
          <w:color w:val="003366"/>
          <w:kern w:val="2"/>
          <w:sz w:val="28"/>
          <w:szCs w:val="28"/>
          <w:lang w:val="en-US" w:eastAsia="zh-CN" w:bidi="ar-SA"/>
        </w:rPr>
        <w:t>product size</w:t>
      </w:r>
    </w:p>
    <w:p w14:paraId="0A215926">
      <w:pPr>
        <w:jc w:val="center"/>
        <w:rPr>
          <w:sz w:val="24"/>
          <w:szCs w:val="24"/>
        </w:rPr>
      </w:pPr>
    </w:p>
    <w:p w14:paraId="39F3038F">
      <w:pPr>
        <w:jc w:val="center"/>
        <w:rPr>
          <w:sz w:val="24"/>
          <w:szCs w:val="24"/>
        </w:rPr>
      </w:pPr>
    </w:p>
    <w:p w14:paraId="248FD21E">
      <w:pPr>
        <w:jc w:val="center"/>
        <w:rPr>
          <w:sz w:val="24"/>
          <w:szCs w:val="24"/>
        </w:rPr>
      </w:pPr>
    </w:p>
    <w:p w14:paraId="3892CD90">
      <w:pPr>
        <w:jc w:val="center"/>
        <w:rPr>
          <w:sz w:val="24"/>
          <w:szCs w:val="24"/>
        </w:rPr>
      </w:pPr>
    </w:p>
    <w:p w14:paraId="46D4BDFF">
      <w:pPr>
        <w:jc w:val="center"/>
        <w:rPr>
          <w:sz w:val="24"/>
          <w:szCs w:val="24"/>
        </w:rPr>
      </w:pPr>
      <w:r>
        <w:pict>
          <v:shape id="_x0000_i1027" o:spt="75" type="#_x0000_t75" style="height:201pt;width:446.5pt;" filled="f" o:preferrelative="t" stroked="f" coordsize="21600,21600">
            <v:path/>
            <v:fill on="f" focussize="0,0"/>
            <v:stroke on="f" joinstyle="miter"/>
            <v:imagedata r:id="rId7" o:title=""/>
            <o:lock v:ext="edit" aspectratio="t"/>
            <w10:wrap type="none"/>
            <w10:anchorlock/>
          </v:shape>
        </w:pict>
      </w:r>
    </w:p>
    <w:p w14:paraId="2AF3A32B">
      <w:pPr>
        <w:jc w:val="center"/>
        <w:rPr>
          <w:sz w:val="24"/>
          <w:szCs w:val="24"/>
        </w:rPr>
      </w:pPr>
    </w:p>
    <w:p w14:paraId="1E8960D3">
      <w:pPr>
        <w:jc w:val="center"/>
        <w:rPr>
          <w:sz w:val="24"/>
          <w:szCs w:val="24"/>
        </w:rPr>
      </w:pPr>
    </w:p>
    <w:p w14:paraId="24964C9E">
      <w:pPr>
        <w:jc w:val="center"/>
        <w:rPr>
          <w:sz w:val="24"/>
          <w:szCs w:val="24"/>
        </w:rPr>
      </w:pPr>
    </w:p>
    <w:p w14:paraId="3E91BA9A">
      <w:pPr>
        <w:spacing w:before="312" w:beforeLines="100" w:after="312" w:afterLines="100" w:line="360" w:lineRule="auto"/>
        <w:rPr>
          <w:rFonts w:hint="eastAsia" w:ascii="微软雅黑" w:hAnsi="微软雅黑" w:eastAsia="微软雅黑"/>
          <w:b/>
          <w:color w:val="003366"/>
          <w:sz w:val="28"/>
          <w:szCs w:val="28"/>
          <w:lang w:eastAsia="zh-CN"/>
        </w:rPr>
      </w:pPr>
      <w:r>
        <w:rPr>
          <w:rFonts w:hint="eastAsia" w:ascii="Times New Roman" w:hAnsi="微软雅黑" w:eastAsia="微软雅黑" w:cs="Times New Roman"/>
          <w:b/>
          <w:color w:val="003366"/>
          <w:kern w:val="2"/>
          <w:sz w:val="28"/>
          <w:szCs w:val="28"/>
          <w:lang w:val="en-US" w:eastAsia="zh-CN" w:bidi="ar-SA"/>
        </w:rPr>
        <w:t>Product Application</w:t>
      </w:r>
    </w:p>
    <w:p w14:paraId="682F0349">
      <w:pPr>
        <w:rPr>
          <w:rFonts w:hint="eastAsia" w:ascii="微软雅黑" w:hAnsi="微软雅黑" w:eastAsia="微软雅黑"/>
          <w:b/>
          <w:color w:val="003366"/>
          <w:sz w:val="24"/>
          <w:szCs w:val="24"/>
          <w:lang w:eastAsia="zh-CN"/>
        </w:rPr>
      </w:pPr>
      <w:r>
        <w:rPr>
          <w:rFonts w:hint="eastAsia" w:ascii="Times New Roman" w:hAnsi="微软雅黑" w:eastAsia="微软雅黑" w:cs="Times New Roman"/>
          <w:b/>
          <w:color w:val="003366"/>
          <w:kern w:val="2"/>
          <w:sz w:val="24"/>
          <w:szCs w:val="24"/>
          <w:lang w:val="en-US" w:eastAsia="zh-CN" w:bidi="ar-SA"/>
        </w:rPr>
        <w:t>I. Point-to-point wireless monitoring transmission applications 1</w:t>
      </w:r>
    </w:p>
    <w:p w14:paraId="49A32F25">
      <w:pPr>
        <w:rPr>
          <w:rFonts w:ascii="微软雅黑" w:hAnsi="微软雅黑" w:eastAsia="微软雅黑"/>
          <w:b/>
          <w:color w:val="003366"/>
          <w:sz w:val="24"/>
          <w:szCs w:val="24"/>
        </w:rPr>
      </w:pPr>
    </w:p>
    <w:p w14:paraId="2DF23438">
      <w:pPr>
        <w:jc w:val="center"/>
        <w:rPr>
          <w:sz w:val="24"/>
          <w:szCs w:val="24"/>
        </w:rPr>
      </w:pPr>
      <w:r>
        <w:rPr>
          <w:sz w:val="24"/>
          <w:szCs w:val="24"/>
        </w:rPr>
        <w:pict>
          <v:shape id="_x0000_i1028" o:spt="75" type="#_x0000_t75" style="height:186pt;width:419pt;" filled="f" o:preferrelative="t" stroked="f" coordsize="21600,21600">
            <v:path/>
            <v:fill on="f" focussize="0,0"/>
            <v:stroke on="f" joinstyle="miter"/>
            <v:imagedata r:id="rId8" o:title=""/>
            <o:lock v:ext="edit" aspectratio="t"/>
            <w10:wrap type="none"/>
            <w10:anchorlock/>
          </v:shape>
        </w:pict>
      </w:r>
    </w:p>
    <w:p w14:paraId="7FA03629">
      <w:pPr>
        <w:jc w:val="center"/>
        <w:rPr>
          <w:sz w:val="24"/>
          <w:szCs w:val="24"/>
        </w:rPr>
      </w:pPr>
    </w:p>
    <w:p w14:paraId="1448F5FA">
      <w:pPr>
        <w:jc w:val="center"/>
        <w:rPr>
          <w:sz w:val="24"/>
          <w:szCs w:val="24"/>
        </w:rPr>
      </w:pPr>
    </w:p>
    <w:p w14:paraId="5864CCF9">
      <w:pPr>
        <w:jc w:val="center"/>
        <w:rPr>
          <w:sz w:val="24"/>
          <w:szCs w:val="24"/>
        </w:rPr>
      </w:pPr>
    </w:p>
    <w:p w14:paraId="39D4D233">
      <w:pPr>
        <w:jc w:val="center"/>
        <w:rPr>
          <w:sz w:val="24"/>
          <w:szCs w:val="24"/>
        </w:rPr>
      </w:pPr>
    </w:p>
    <w:p w14:paraId="762DF6EB">
      <w:pPr>
        <w:rPr>
          <w:rFonts w:hint="eastAsia" w:ascii="微软雅黑" w:hAnsi="微软雅黑" w:eastAsia="微软雅黑"/>
          <w:b/>
          <w:color w:val="003366"/>
          <w:sz w:val="24"/>
          <w:szCs w:val="24"/>
          <w:lang w:eastAsia="zh-CN"/>
        </w:rPr>
      </w:pPr>
      <w:r>
        <w:rPr>
          <w:rFonts w:hint="eastAsia" w:ascii="Times New Roman" w:hAnsi="微软雅黑" w:eastAsia="微软雅黑" w:cs="Times New Roman"/>
          <w:b/>
          <w:color w:val="003366"/>
          <w:kern w:val="2"/>
          <w:sz w:val="24"/>
          <w:szCs w:val="24"/>
          <w:lang w:val="en-US" w:eastAsia="zh-CN" w:bidi="ar-SA"/>
        </w:rPr>
        <w:t>II. Point-to-point wireless monitoring transmission applications 2</w:t>
      </w:r>
    </w:p>
    <w:p w14:paraId="46219E1D">
      <w:pPr>
        <w:rPr>
          <w:rFonts w:ascii="微软雅黑" w:hAnsi="微软雅黑" w:eastAsia="微软雅黑"/>
          <w:b/>
          <w:color w:val="003366"/>
          <w:sz w:val="24"/>
          <w:szCs w:val="24"/>
        </w:rPr>
      </w:pPr>
    </w:p>
    <w:p w14:paraId="69B97760">
      <w:pPr>
        <w:jc w:val="center"/>
        <w:rPr>
          <w:sz w:val="24"/>
          <w:szCs w:val="24"/>
        </w:rPr>
      </w:pPr>
      <w:r>
        <w:rPr>
          <w:sz w:val="24"/>
          <w:szCs w:val="24"/>
        </w:rPr>
        <w:pict>
          <v:shape id="_x0000_i1029" o:spt="75" type="#_x0000_t75" style="height:180pt;width:421.5pt;" filled="f" o:preferrelative="t" stroked="f" coordsize="21600,21600">
            <v:path/>
            <v:fill on="f" focussize="0,0"/>
            <v:stroke on="f" joinstyle="miter"/>
            <v:imagedata r:id="rId9" o:title=""/>
            <o:lock v:ext="edit" aspectratio="t"/>
            <w10:wrap type="none"/>
            <w10:anchorlock/>
          </v:shape>
        </w:pict>
      </w:r>
    </w:p>
    <w:p w14:paraId="4E063E8B">
      <w:pPr>
        <w:jc w:val="center"/>
        <w:rPr>
          <w:sz w:val="24"/>
          <w:szCs w:val="24"/>
        </w:rPr>
      </w:pPr>
    </w:p>
    <w:p w14:paraId="34C6F140">
      <w:pPr>
        <w:jc w:val="center"/>
        <w:rPr>
          <w:sz w:val="24"/>
          <w:szCs w:val="24"/>
        </w:rPr>
      </w:pPr>
    </w:p>
    <w:p w14:paraId="2A551BA5">
      <w:pPr>
        <w:jc w:val="center"/>
        <w:rPr>
          <w:sz w:val="24"/>
          <w:szCs w:val="24"/>
        </w:rPr>
      </w:pPr>
    </w:p>
    <w:p w14:paraId="3B8BDFEC">
      <w:pPr>
        <w:rPr>
          <w:sz w:val="24"/>
          <w:szCs w:val="24"/>
        </w:rPr>
      </w:pPr>
    </w:p>
    <w:p w14:paraId="30558BC5">
      <w:pPr>
        <w:rPr>
          <w:rFonts w:hint="eastAsia" w:ascii="微软雅黑" w:hAnsi="微软雅黑" w:eastAsia="微软雅黑"/>
          <w:b/>
          <w:color w:val="003366"/>
          <w:sz w:val="24"/>
          <w:szCs w:val="24"/>
          <w:lang w:eastAsia="zh-CN"/>
        </w:rPr>
      </w:pPr>
      <w:r>
        <w:rPr>
          <w:rFonts w:hint="eastAsia" w:ascii="Times New Roman" w:hAnsi="微软雅黑" w:eastAsia="微软雅黑" w:cs="Times New Roman"/>
          <w:b/>
          <w:color w:val="003366"/>
          <w:kern w:val="2"/>
          <w:sz w:val="24"/>
          <w:szCs w:val="24"/>
          <w:lang w:val="en-US" w:eastAsia="zh-CN" w:bidi="ar-SA"/>
        </w:rPr>
        <w:t>III. Wireless Monitoring Transmission: Point-to-Multipoint Applications 3</w:t>
      </w:r>
    </w:p>
    <w:p w14:paraId="672648AF">
      <w:pPr>
        <w:rPr>
          <w:sz w:val="24"/>
          <w:szCs w:val="24"/>
        </w:rPr>
      </w:pPr>
    </w:p>
    <w:p w14:paraId="1D25F81E">
      <w:pPr>
        <w:rPr>
          <w:sz w:val="24"/>
          <w:szCs w:val="24"/>
        </w:rPr>
      </w:pPr>
    </w:p>
    <w:p w14:paraId="36A74F92">
      <w:pPr>
        <w:jc w:val="center"/>
        <w:rPr>
          <w:sz w:val="24"/>
          <w:szCs w:val="24"/>
        </w:rPr>
      </w:pPr>
      <w:r>
        <w:rPr>
          <w:sz w:val="24"/>
          <w:szCs w:val="24"/>
        </w:rPr>
        <w:pict>
          <v:shape id="_x0000_i1030" o:spt="75" type="#_x0000_t75" style="height:185.5pt;width:416pt;" filled="f" o:preferrelative="t" stroked="f" coordsize="21600,21600">
            <v:path/>
            <v:fill on="f" focussize="0,0"/>
            <v:stroke on="f" joinstyle="miter"/>
            <v:imagedata r:id="rId10" o:title=""/>
            <o:lock v:ext="edit" aspectratio="t"/>
            <w10:wrap type="none"/>
            <w10:anchorlock/>
          </v:shape>
        </w:pict>
      </w:r>
    </w:p>
    <w:p w14:paraId="7A985318">
      <w:pPr>
        <w:jc w:val="center"/>
        <w:rPr>
          <w:sz w:val="24"/>
          <w:szCs w:val="24"/>
        </w:rPr>
      </w:pPr>
    </w:p>
    <w:p w14:paraId="1EC3CE3B">
      <w:pPr>
        <w:jc w:val="center"/>
        <w:rPr>
          <w:sz w:val="24"/>
          <w:szCs w:val="24"/>
        </w:rPr>
      </w:pPr>
    </w:p>
    <w:p w14:paraId="5372A2C5">
      <w:pPr>
        <w:jc w:val="center"/>
        <w:rPr>
          <w:sz w:val="24"/>
          <w:szCs w:val="24"/>
        </w:rPr>
      </w:pPr>
    </w:p>
    <w:p w14:paraId="5D6E6A3F">
      <w:pPr>
        <w:jc w:val="center"/>
        <w:rPr>
          <w:sz w:val="24"/>
          <w:szCs w:val="24"/>
        </w:rPr>
      </w:pPr>
    </w:p>
    <w:p w14:paraId="57B7082F">
      <w:pPr>
        <w:rPr>
          <w:rFonts w:hint="eastAsia" w:ascii="微软雅黑" w:hAnsi="微软雅黑" w:eastAsia="微软雅黑"/>
          <w:b/>
          <w:color w:val="003366"/>
          <w:sz w:val="24"/>
          <w:szCs w:val="24"/>
          <w:lang w:eastAsia="zh-CN"/>
        </w:rPr>
      </w:pPr>
      <w:r>
        <w:rPr>
          <w:rFonts w:hint="eastAsia" w:ascii="Times New Roman" w:hAnsi="微软雅黑" w:eastAsia="微软雅黑" w:cs="Times New Roman"/>
          <w:b/>
          <w:color w:val="003366"/>
          <w:kern w:val="2"/>
          <w:sz w:val="24"/>
          <w:szCs w:val="24"/>
          <w:lang w:val="en-US" w:eastAsia="zh-CN" w:bidi="ar-SA"/>
        </w:rPr>
        <w:t>IV. Internet of Things Data Transmission Applications</w:t>
      </w:r>
    </w:p>
    <w:p w14:paraId="06FADE19">
      <w:pPr>
        <w:rPr>
          <w:rFonts w:ascii="微软雅黑" w:hAnsi="微软雅黑" w:eastAsia="微软雅黑"/>
          <w:b/>
          <w:color w:val="003366"/>
          <w:sz w:val="24"/>
          <w:szCs w:val="24"/>
        </w:rPr>
      </w:pPr>
    </w:p>
    <w:p w14:paraId="2C1E2C1C">
      <w:pPr>
        <w:jc w:val="center"/>
        <w:rPr>
          <w:sz w:val="24"/>
          <w:szCs w:val="24"/>
        </w:rPr>
      </w:pPr>
      <w:r>
        <w:rPr>
          <w:sz w:val="24"/>
          <w:szCs w:val="24"/>
        </w:rPr>
        <w:pict>
          <v:shape id="_x0000_i1031" o:spt="75" type="#_x0000_t75" style="height:218.5pt;width:432pt;" filled="f" o:preferrelative="t" stroked="f" coordsize="21600,21600">
            <v:path/>
            <v:fill on="f" focussize="0,0"/>
            <v:stroke on="f" joinstyle="miter"/>
            <v:imagedata r:id="rId11" o:title=""/>
            <o:lock v:ext="edit" aspectratio="t"/>
            <w10:wrap type="none"/>
            <w10:anchorlock/>
          </v:shape>
        </w:pict>
      </w:r>
    </w:p>
    <w:p w14:paraId="63FDCC52">
      <w:pPr>
        <w:jc w:val="center"/>
        <w:rPr>
          <w:sz w:val="24"/>
          <w:szCs w:val="24"/>
        </w:rPr>
      </w:pPr>
    </w:p>
    <w:p w14:paraId="4C06C378">
      <w:pPr>
        <w:jc w:val="center"/>
        <w:rPr>
          <w:sz w:val="24"/>
          <w:szCs w:val="24"/>
        </w:rPr>
      </w:pPr>
    </w:p>
    <w:p w14:paraId="45451172">
      <w:pPr>
        <w:jc w:val="center"/>
        <w:rPr>
          <w:sz w:val="24"/>
          <w:szCs w:val="24"/>
        </w:rPr>
      </w:pPr>
    </w:p>
    <w:p w14:paraId="17627D97">
      <w:pPr>
        <w:jc w:val="center"/>
        <w:rPr>
          <w:sz w:val="24"/>
          <w:szCs w:val="24"/>
        </w:rPr>
      </w:pPr>
    </w:p>
    <w:p w14:paraId="149CDBAB">
      <w:pPr>
        <w:rPr>
          <w:rFonts w:hint="eastAsia" w:ascii="微软雅黑" w:hAnsi="微软雅黑" w:eastAsia="微软雅黑"/>
          <w:b/>
          <w:color w:val="003366"/>
          <w:sz w:val="24"/>
          <w:szCs w:val="24"/>
          <w:lang w:eastAsia="zh-CN"/>
        </w:rPr>
      </w:pPr>
      <w:r>
        <w:rPr>
          <w:rFonts w:hint="eastAsia" w:ascii="Times New Roman" w:hAnsi="微软雅黑" w:eastAsia="微软雅黑" w:cs="Times New Roman"/>
          <w:b/>
          <w:color w:val="003366"/>
          <w:kern w:val="2"/>
          <w:sz w:val="24"/>
          <w:szCs w:val="24"/>
          <w:lang w:val="en-US" w:eastAsia="zh-CN" w:bidi="ar-SA"/>
        </w:rPr>
        <w:t>V. Applications of Wireless Data Transmission over the Internet 1</w:t>
      </w:r>
    </w:p>
    <w:p w14:paraId="3FB5F9F3">
      <w:pPr>
        <w:rPr>
          <w:rFonts w:ascii="微软雅黑" w:hAnsi="微软雅黑" w:eastAsia="微软雅黑"/>
          <w:b/>
          <w:color w:val="003366"/>
          <w:sz w:val="24"/>
          <w:szCs w:val="24"/>
        </w:rPr>
      </w:pPr>
    </w:p>
    <w:p w14:paraId="134F7BB8">
      <w:pPr>
        <w:jc w:val="center"/>
        <w:rPr>
          <w:rFonts w:ascii="微软雅黑" w:hAnsi="微软雅黑" w:eastAsia="微软雅黑"/>
          <w:b/>
          <w:color w:val="003366"/>
          <w:sz w:val="24"/>
          <w:szCs w:val="24"/>
        </w:rPr>
      </w:pPr>
      <w:r>
        <w:rPr>
          <w:rFonts w:ascii="微软雅黑" w:hAnsi="微软雅黑" w:eastAsia="微软雅黑"/>
          <w:b/>
          <w:color w:val="003366"/>
          <w:sz w:val="24"/>
          <w:szCs w:val="24"/>
        </w:rPr>
        <w:pict>
          <v:shape id="_x0000_i1032" o:spt="75" type="#_x0000_t75" style="height:213pt;width:431pt;" filled="f" o:preferrelative="t" stroked="f" coordsize="21600,21600">
            <v:path/>
            <v:fill on="f" focussize="0,0"/>
            <v:stroke on="f" joinstyle="miter"/>
            <v:imagedata r:id="rId12" o:title=""/>
            <o:lock v:ext="edit" aspectratio="t"/>
            <w10:wrap type="none"/>
            <w10:anchorlock/>
          </v:shape>
        </w:pict>
      </w:r>
    </w:p>
    <w:p w14:paraId="742B9B76">
      <w:pPr>
        <w:jc w:val="center"/>
        <w:rPr>
          <w:rFonts w:ascii="微软雅黑" w:hAnsi="微软雅黑" w:eastAsia="微软雅黑"/>
          <w:b/>
          <w:color w:val="003366"/>
          <w:sz w:val="24"/>
          <w:szCs w:val="24"/>
        </w:rPr>
      </w:pPr>
    </w:p>
    <w:p w14:paraId="2181E20E">
      <w:pPr>
        <w:rPr>
          <w:rFonts w:hint="eastAsia" w:ascii="微软雅黑" w:hAnsi="微软雅黑" w:eastAsia="微软雅黑"/>
          <w:b/>
          <w:color w:val="003366"/>
          <w:sz w:val="24"/>
          <w:szCs w:val="24"/>
          <w:lang w:eastAsia="zh-CN"/>
        </w:rPr>
      </w:pPr>
      <w:r>
        <w:rPr>
          <w:rFonts w:hint="eastAsia" w:ascii="Times New Roman" w:hAnsi="微软雅黑" w:eastAsia="微软雅黑" w:cs="Times New Roman"/>
          <w:b/>
          <w:color w:val="003366"/>
          <w:kern w:val="2"/>
          <w:sz w:val="24"/>
          <w:szCs w:val="24"/>
          <w:lang w:val="en-US" w:eastAsia="zh-CN" w:bidi="ar-SA"/>
        </w:rPr>
        <w:t>VI. Internet Wireless Transmission Applications 2</w:t>
      </w:r>
    </w:p>
    <w:p w14:paraId="4508258E">
      <w:pPr>
        <w:jc w:val="center"/>
        <w:rPr>
          <w:rFonts w:ascii="微软雅黑" w:hAnsi="微软雅黑" w:eastAsia="微软雅黑"/>
          <w:b/>
          <w:color w:val="003366"/>
          <w:sz w:val="24"/>
          <w:szCs w:val="24"/>
        </w:rPr>
      </w:pPr>
      <w:r>
        <w:rPr>
          <w:rFonts w:ascii="微软雅黑" w:hAnsi="微软雅黑" w:eastAsia="微软雅黑"/>
          <w:b/>
          <w:color w:val="003366"/>
          <w:sz w:val="24"/>
          <w:szCs w:val="24"/>
        </w:rPr>
        <w:pict>
          <v:shape id="_x0000_i1033" o:spt="75" type="#_x0000_t75" style="height:256pt;width:442.5pt;" filled="f" o:preferrelative="t" stroked="f" coordsize="21600,21600">
            <v:path/>
            <v:fill on="f" focussize="0,0"/>
            <v:stroke on="f" joinstyle="miter"/>
            <v:imagedata r:id="rId13" o:title=""/>
            <o:lock v:ext="edit" aspectratio="t"/>
            <w10:wrap type="none"/>
            <w10:anchorlock/>
          </v:shape>
        </w:pict>
      </w:r>
    </w:p>
    <w:p w14:paraId="267A1527">
      <w:pPr>
        <w:jc w:val="center"/>
        <w:rPr>
          <w:rFonts w:ascii="微软雅黑" w:hAnsi="微软雅黑" w:eastAsia="微软雅黑"/>
          <w:b/>
          <w:color w:val="003366"/>
          <w:sz w:val="24"/>
          <w:szCs w:val="24"/>
        </w:rPr>
      </w:pPr>
    </w:p>
    <w:p w14:paraId="5D5BCB68">
      <w:pPr>
        <w:jc w:val="center"/>
        <w:rPr>
          <w:rFonts w:ascii="微软雅黑" w:hAnsi="微软雅黑" w:eastAsia="微软雅黑"/>
          <w:b/>
          <w:color w:val="003366"/>
          <w:sz w:val="24"/>
          <w:szCs w:val="24"/>
        </w:rPr>
      </w:pPr>
    </w:p>
    <w:p w14:paraId="5B8CC9AC">
      <w:pPr>
        <w:jc w:val="center"/>
        <w:rPr>
          <w:rFonts w:ascii="微软雅黑" w:hAnsi="微软雅黑" w:eastAsia="微软雅黑"/>
          <w:b/>
          <w:color w:val="003366"/>
          <w:sz w:val="24"/>
          <w:szCs w:val="24"/>
        </w:rPr>
      </w:pPr>
    </w:p>
    <w:p w14:paraId="3EB91A39">
      <w:pPr>
        <w:rPr>
          <w:rFonts w:hint="eastAsia" w:ascii="微软雅黑" w:hAnsi="微软雅黑" w:eastAsia="微软雅黑"/>
          <w:b/>
          <w:color w:val="003366"/>
          <w:sz w:val="24"/>
          <w:szCs w:val="24"/>
          <w:lang w:eastAsia="zh-CN"/>
        </w:rPr>
      </w:pPr>
      <w:r>
        <w:rPr>
          <w:rFonts w:hint="eastAsia" w:ascii="Times New Roman" w:hAnsi="微软雅黑" w:eastAsia="微软雅黑" w:cs="Times New Roman"/>
          <w:b/>
          <w:color w:val="003366"/>
          <w:kern w:val="2"/>
          <w:sz w:val="24"/>
          <w:szCs w:val="24"/>
          <w:lang w:val="en-US" w:eastAsia="zh-CN" w:bidi="ar-SA"/>
        </w:rPr>
        <w:t>VII. Internet Coverage Applications 3</w:t>
      </w:r>
    </w:p>
    <w:p w14:paraId="0B415EC4">
      <w:pPr>
        <w:rPr>
          <w:rFonts w:ascii="微软雅黑" w:hAnsi="微软雅黑" w:eastAsia="微软雅黑"/>
          <w:b/>
          <w:color w:val="003366"/>
          <w:sz w:val="24"/>
          <w:szCs w:val="24"/>
        </w:rPr>
      </w:pPr>
    </w:p>
    <w:p w14:paraId="57CC6E39">
      <w:pPr>
        <w:jc w:val="center"/>
        <w:rPr>
          <w:rFonts w:ascii="微软雅黑" w:hAnsi="微软雅黑" w:eastAsia="微软雅黑"/>
          <w:b/>
          <w:color w:val="003366"/>
          <w:sz w:val="24"/>
          <w:szCs w:val="24"/>
        </w:rPr>
      </w:pPr>
      <w:r>
        <w:rPr>
          <w:rFonts w:ascii="微软雅黑" w:hAnsi="微软雅黑" w:eastAsia="微软雅黑"/>
          <w:b/>
          <w:color w:val="003366"/>
          <w:sz w:val="24"/>
          <w:szCs w:val="24"/>
        </w:rPr>
        <w:pict>
          <v:shape id="_x0000_i1034" o:spt="75" type="#_x0000_t75" style="height:202pt;width:445pt;" filled="f" o:preferrelative="t" stroked="f" coordsize="21600,21600">
            <v:path/>
            <v:fill on="f" focussize="0,0"/>
            <v:stroke on="f" joinstyle="miter"/>
            <v:imagedata r:id="rId14" o:title=""/>
            <o:lock v:ext="edit" aspectratio="t"/>
            <w10:wrap type="none"/>
            <w10:anchorlock/>
          </v:shape>
        </w:pict>
      </w:r>
    </w:p>
    <w:p w14:paraId="7CD35A3B">
      <w:pPr>
        <w:rPr>
          <w:sz w:val="24"/>
          <w:szCs w:val="24"/>
        </w:rPr>
      </w:pPr>
    </w:p>
    <w:sectPr>
      <w:headerReference r:id="rId3" w:type="default"/>
      <w:pgSz w:w="11906" w:h="16838"/>
      <w:pgMar w:top="1440" w:right="1440" w:bottom="144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Î¢ÈíÑÅºÚ Western">
    <w:altName w:val="Arial"/>
    <w:panose1 w:val="00000000000000000000"/>
    <w:charset w:val="00"/>
    <w:family w:val="swiss"/>
    <w:pitch w:val="default"/>
    <w:sig w:usb0="00000000" w:usb1="00000000" w:usb2="00000000" w:usb3="00000000" w:csb0="00000001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0300EA">
    <w:pPr>
      <w:pStyle w:val="4"/>
      <w:spacing w:line="360" w:lineRule="auto"/>
      <w:jc w:val="both"/>
      <w:rPr>
        <w:rFonts w:hint="eastAsia" w:ascii="微软雅黑" w:hAnsi="微软雅黑" w:eastAsia="微软雅黑"/>
        <w:color w:val="003366"/>
        <w:sz w:val="24"/>
        <w:szCs w:val="24"/>
        <w:lang w:eastAsia="zh-CN"/>
      </w:rPr>
    </w:pPr>
    <w:r>
      <w:rPr>
        <w:rFonts w:hint="eastAsia" w:ascii="Times New Roman" w:hAnsi="微软雅黑" w:eastAsia="微软雅黑" w:cs="Times New Roman"/>
        <w:color w:val="003366"/>
        <w:kern w:val="2"/>
        <w:sz w:val="24"/>
        <w:szCs w:val="24"/>
        <w:lang w:val="en-US" w:eastAsia="zh-CN" w:bidi="ar-SA"/>
      </w:rPr>
      <w:t>5.8G High-power Long-range Digital Wireless Bridge (Model: WB5830Y)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D6DCD8E"/>
    <w:multiLevelType w:val="multilevel"/>
    <w:tmpl w:val="3D6DCD8E"/>
    <w:lvl w:ilvl="0" w:tentative="0">
      <w:start w:val="1"/>
      <w:numFmt w:val="bullet"/>
      <w:lvlText w:val=""/>
      <w:lvlJc w:val="left"/>
      <w:pPr>
        <w:tabs>
          <w:tab w:val="left" w:pos="420"/>
        </w:tabs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tabs>
          <w:tab w:val="left" w:pos="840"/>
        </w:tabs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tabs>
          <w:tab w:val="left" w:pos="1260"/>
        </w:tabs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tabs>
          <w:tab w:val="left" w:pos="1680"/>
        </w:tabs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tabs>
          <w:tab w:val="left" w:pos="2100"/>
        </w:tabs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tabs>
          <w:tab w:val="left" w:pos="2520"/>
        </w:tabs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tabs>
          <w:tab w:val="left" w:pos="2940"/>
        </w:tabs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tabs>
          <w:tab w:val="left" w:pos="3360"/>
        </w:tabs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NotTrackMoves/>
  <w:documentProtection w:edit="readOnly" w:enforcement="0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A65A1"/>
    <w:rsid w:val="00001278"/>
    <w:rsid w:val="00013924"/>
    <w:rsid w:val="000233BE"/>
    <w:rsid w:val="00025D97"/>
    <w:rsid w:val="00030266"/>
    <w:rsid w:val="000341C5"/>
    <w:rsid w:val="00036BEA"/>
    <w:rsid w:val="00055B6F"/>
    <w:rsid w:val="00064738"/>
    <w:rsid w:val="00064889"/>
    <w:rsid w:val="00070847"/>
    <w:rsid w:val="00071FD5"/>
    <w:rsid w:val="000819B4"/>
    <w:rsid w:val="00093781"/>
    <w:rsid w:val="000A1D87"/>
    <w:rsid w:val="000A3602"/>
    <w:rsid w:val="000A39AD"/>
    <w:rsid w:val="000A3FBC"/>
    <w:rsid w:val="000B4DB5"/>
    <w:rsid w:val="000E388A"/>
    <w:rsid w:val="000E40C0"/>
    <w:rsid w:val="000E47AB"/>
    <w:rsid w:val="000E4DC6"/>
    <w:rsid w:val="000F15D0"/>
    <w:rsid w:val="000F4E56"/>
    <w:rsid w:val="0010327F"/>
    <w:rsid w:val="00106481"/>
    <w:rsid w:val="00111CC7"/>
    <w:rsid w:val="00112316"/>
    <w:rsid w:val="0011791E"/>
    <w:rsid w:val="00120319"/>
    <w:rsid w:val="00123437"/>
    <w:rsid w:val="00123EEA"/>
    <w:rsid w:val="0012401E"/>
    <w:rsid w:val="00130E9E"/>
    <w:rsid w:val="00133639"/>
    <w:rsid w:val="0015320F"/>
    <w:rsid w:val="0015677E"/>
    <w:rsid w:val="001622FF"/>
    <w:rsid w:val="00182671"/>
    <w:rsid w:val="00183337"/>
    <w:rsid w:val="001839DE"/>
    <w:rsid w:val="00184CDF"/>
    <w:rsid w:val="00186CA9"/>
    <w:rsid w:val="00187042"/>
    <w:rsid w:val="00187324"/>
    <w:rsid w:val="00187328"/>
    <w:rsid w:val="00197C86"/>
    <w:rsid w:val="001A1CEE"/>
    <w:rsid w:val="001A4FDE"/>
    <w:rsid w:val="001A54DB"/>
    <w:rsid w:val="001B0138"/>
    <w:rsid w:val="001B1865"/>
    <w:rsid w:val="001B2BB8"/>
    <w:rsid w:val="001B357F"/>
    <w:rsid w:val="001B3594"/>
    <w:rsid w:val="001B5859"/>
    <w:rsid w:val="001C2FA2"/>
    <w:rsid w:val="001C4CDB"/>
    <w:rsid w:val="001C6D72"/>
    <w:rsid w:val="001D22B0"/>
    <w:rsid w:val="001D2CD0"/>
    <w:rsid w:val="001E2934"/>
    <w:rsid w:val="001E2D37"/>
    <w:rsid w:val="001E398F"/>
    <w:rsid w:val="001F4691"/>
    <w:rsid w:val="001F6F13"/>
    <w:rsid w:val="00204D75"/>
    <w:rsid w:val="00207CF2"/>
    <w:rsid w:val="00211DB6"/>
    <w:rsid w:val="002158D8"/>
    <w:rsid w:val="00215FD2"/>
    <w:rsid w:val="002206EC"/>
    <w:rsid w:val="002245FA"/>
    <w:rsid w:val="00226C76"/>
    <w:rsid w:val="0023036A"/>
    <w:rsid w:val="002324C3"/>
    <w:rsid w:val="00232566"/>
    <w:rsid w:val="00240EE5"/>
    <w:rsid w:val="0024192C"/>
    <w:rsid w:val="00244C28"/>
    <w:rsid w:val="00244D76"/>
    <w:rsid w:val="00252267"/>
    <w:rsid w:val="00252B62"/>
    <w:rsid w:val="002564DA"/>
    <w:rsid w:val="00257D0F"/>
    <w:rsid w:val="00261D12"/>
    <w:rsid w:val="00263055"/>
    <w:rsid w:val="0027260B"/>
    <w:rsid w:val="00274EF5"/>
    <w:rsid w:val="00283710"/>
    <w:rsid w:val="0028730A"/>
    <w:rsid w:val="002941F2"/>
    <w:rsid w:val="002A1351"/>
    <w:rsid w:val="002C0F3F"/>
    <w:rsid w:val="002C55F9"/>
    <w:rsid w:val="002C5F5E"/>
    <w:rsid w:val="002D1251"/>
    <w:rsid w:val="002D5780"/>
    <w:rsid w:val="002D57C3"/>
    <w:rsid w:val="002D6EE6"/>
    <w:rsid w:val="002D7993"/>
    <w:rsid w:val="002E046D"/>
    <w:rsid w:val="002E19FB"/>
    <w:rsid w:val="002E1ED1"/>
    <w:rsid w:val="002E445C"/>
    <w:rsid w:val="002E700F"/>
    <w:rsid w:val="002E75C9"/>
    <w:rsid w:val="002F2CD6"/>
    <w:rsid w:val="00301980"/>
    <w:rsid w:val="003043BF"/>
    <w:rsid w:val="00304437"/>
    <w:rsid w:val="00306B3B"/>
    <w:rsid w:val="00307727"/>
    <w:rsid w:val="003145A7"/>
    <w:rsid w:val="00315818"/>
    <w:rsid w:val="00316718"/>
    <w:rsid w:val="0031704E"/>
    <w:rsid w:val="003227AE"/>
    <w:rsid w:val="003250BB"/>
    <w:rsid w:val="00330F35"/>
    <w:rsid w:val="0033255B"/>
    <w:rsid w:val="003347CC"/>
    <w:rsid w:val="00336A9B"/>
    <w:rsid w:val="00340DB8"/>
    <w:rsid w:val="00340EDC"/>
    <w:rsid w:val="00341CA8"/>
    <w:rsid w:val="00344055"/>
    <w:rsid w:val="00351F24"/>
    <w:rsid w:val="00357288"/>
    <w:rsid w:val="003577FC"/>
    <w:rsid w:val="00361426"/>
    <w:rsid w:val="00364618"/>
    <w:rsid w:val="00365ADB"/>
    <w:rsid w:val="003811E3"/>
    <w:rsid w:val="00383373"/>
    <w:rsid w:val="00385AE2"/>
    <w:rsid w:val="003860BC"/>
    <w:rsid w:val="00386714"/>
    <w:rsid w:val="00387BBF"/>
    <w:rsid w:val="003934CB"/>
    <w:rsid w:val="00395EF8"/>
    <w:rsid w:val="003974CB"/>
    <w:rsid w:val="003A1317"/>
    <w:rsid w:val="003A2BE0"/>
    <w:rsid w:val="003B2AC5"/>
    <w:rsid w:val="003C21A1"/>
    <w:rsid w:val="003D0B33"/>
    <w:rsid w:val="003D2DC3"/>
    <w:rsid w:val="003D5317"/>
    <w:rsid w:val="003D7752"/>
    <w:rsid w:val="003E08C5"/>
    <w:rsid w:val="003E2CE5"/>
    <w:rsid w:val="003E41B0"/>
    <w:rsid w:val="003E4BAD"/>
    <w:rsid w:val="003E6372"/>
    <w:rsid w:val="003F31E6"/>
    <w:rsid w:val="003F420D"/>
    <w:rsid w:val="003F75C6"/>
    <w:rsid w:val="00401EB2"/>
    <w:rsid w:val="00412877"/>
    <w:rsid w:val="004137E7"/>
    <w:rsid w:val="00417E2F"/>
    <w:rsid w:val="00420A72"/>
    <w:rsid w:val="004320B3"/>
    <w:rsid w:val="0043289F"/>
    <w:rsid w:val="00434D5D"/>
    <w:rsid w:val="00435147"/>
    <w:rsid w:val="00436065"/>
    <w:rsid w:val="00443DD4"/>
    <w:rsid w:val="00446857"/>
    <w:rsid w:val="00453A70"/>
    <w:rsid w:val="00453FC8"/>
    <w:rsid w:val="00454932"/>
    <w:rsid w:val="00475053"/>
    <w:rsid w:val="00475472"/>
    <w:rsid w:val="00475A0E"/>
    <w:rsid w:val="00476773"/>
    <w:rsid w:val="0048063D"/>
    <w:rsid w:val="00491DAA"/>
    <w:rsid w:val="0049216F"/>
    <w:rsid w:val="00496422"/>
    <w:rsid w:val="004964B8"/>
    <w:rsid w:val="0049772B"/>
    <w:rsid w:val="004B2597"/>
    <w:rsid w:val="004B51FA"/>
    <w:rsid w:val="004C20B4"/>
    <w:rsid w:val="004C2CAB"/>
    <w:rsid w:val="004C4E82"/>
    <w:rsid w:val="004C5616"/>
    <w:rsid w:val="004E2490"/>
    <w:rsid w:val="004E322B"/>
    <w:rsid w:val="004F6252"/>
    <w:rsid w:val="004F67F1"/>
    <w:rsid w:val="004F7DEB"/>
    <w:rsid w:val="005044B8"/>
    <w:rsid w:val="00505C35"/>
    <w:rsid w:val="005077FD"/>
    <w:rsid w:val="005114C9"/>
    <w:rsid w:val="005117CB"/>
    <w:rsid w:val="00512F10"/>
    <w:rsid w:val="00514B99"/>
    <w:rsid w:val="00522007"/>
    <w:rsid w:val="00522552"/>
    <w:rsid w:val="0052568E"/>
    <w:rsid w:val="00534395"/>
    <w:rsid w:val="00536085"/>
    <w:rsid w:val="00537415"/>
    <w:rsid w:val="0053775A"/>
    <w:rsid w:val="00541801"/>
    <w:rsid w:val="00543CF2"/>
    <w:rsid w:val="00544322"/>
    <w:rsid w:val="005447BB"/>
    <w:rsid w:val="00555BFB"/>
    <w:rsid w:val="00564629"/>
    <w:rsid w:val="005741CB"/>
    <w:rsid w:val="005841A7"/>
    <w:rsid w:val="005844EB"/>
    <w:rsid w:val="00586732"/>
    <w:rsid w:val="00586F55"/>
    <w:rsid w:val="00590EBF"/>
    <w:rsid w:val="0059361B"/>
    <w:rsid w:val="00595C8A"/>
    <w:rsid w:val="005965E9"/>
    <w:rsid w:val="005A2280"/>
    <w:rsid w:val="005A6336"/>
    <w:rsid w:val="005A6470"/>
    <w:rsid w:val="005A669B"/>
    <w:rsid w:val="005B12AD"/>
    <w:rsid w:val="005B231A"/>
    <w:rsid w:val="005C36E0"/>
    <w:rsid w:val="005D2A14"/>
    <w:rsid w:val="005D3C10"/>
    <w:rsid w:val="005D6087"/>
    <w:rsid w:val="005E1BA7"/>
    <w:rsid w:val="005E4583"/>
    <w:rsid w:val="005E4A16"/>
    <w:rsid w:val="005E73D4"/>
    <w:rsid w:val="005F4541"/>
    <w:rsid w:val="005F61CA"/>
    <w:rsid w:val="00600F58"/>
    <w:rsid w:val="0061596E"/>
    <w:rsid w:val="00622757"/>
    <w:rsid w:val="00625986"/>
    <w:rsid w:val="00631C45"/>
    <w:rsid w:val="0063394E"/>
    <w:rsid w:val="00634C90"/>
    <w:rsid w:val="0064397B"/>
    <w:rsid w:val="00643D3C"/>
    <w:rsid w:val="006514DA"/>
    <w:rsid w:val="00652765"/>
    <w:rsid w:val="00655FB6"/>
    <w:rsid w:val="00661376"/>
    <w:rsid w:val="0066561E"/>
    <w:rsid w:val="00665A6E"/>
    <w:rsid w:val="006660D7"/>
    <w:rsid w:val="00666E1B"/>
    <w:rsid w:val="0067413A"/>
    <w:rsid w:val="0068501C"/>
    <w:rsid w:val="00687098"/>
    <w:rsid w:val="00693176"/>
    <w:rsid w:val="00693C78"/>
    <w:rsid w:val="006966D4"/>
    <w:rsid w:val="006A1C0E"/>
    <w:rsid w:val="006A221E"/>
    <w:rsid w:val="006C3269"/>
    <w:rsid w:val="006D20FE"/>
    <w:rsid w:val="006D49A5"/>
    <w:rsid w:val="006E1871"/>
    <w:rsid w:val="006E58E0"/>
    <w:rsid w:val="006E6305"/>
    <w:rsid w:val="006F1A32"/>
    <w:rsid w:val="006F5DA4"/>
    <w:rsid w:val="006F6BDF"/>
    <w:rsid w:val="007027A0"/>
    <w:rsid w:val="0070285F"/>
    <w:rsid w:val="00702990"/>
    <w:rsid w:val="00702F9A"/>
    <w:rsid w:val="0070438E"/>
    <w:rsid w:val="00705182"/>
    <w:rsid w:val="00707D4F"/>
    <w:rsid w:val="007163A5"/>
    <w:rsid w:val="00720688"/>
    <w:rsid w:val="0072152E"/>
    <w:rsid w:val="007215C3"/>
    <w:rsid w:val="00735B17"/>
    <w:rsid w:val="00741845"/>
    <w:rsid w:val="00745447"/>
    <w:rsid w:val="00760CBB"/>
    <w:rsid w:val="00764D3D"/>
    <w:rsid w:val="0076630D"/>
    <w:rsid w:val="007663FA"/>
    <w:rsid w:val="00780B74"/>
    <w:rsid w:val="007872CA"/>
    <w:rsid w:val="007942A2"/>
    <w:rsid w:val="00796604"/>
    <w:rsid w:val="007A14E9"/>
    <w:rsid w:val="007A1B0A"/>
    <w:rsid w:val="007A2587"/>
    <w:rsid w:val="007B22E0"/>
    <w:rsid w:val="007B4974"/>
    <w:rsid w:val="007C20E7"/>
    <w:rsid w:val="007C2967"/>
    <w:rsid w:val="007C3565"/>
    <w:rsid w:val="007D195D"/>
    <w:rsid w:val="007D604E"/>
    <w:rsid w:val="007D6A33"/>
    <w:rsid w:val="007D787F"/>
    <w:rsid w:val="007E7102"/>
    <w:rsid w:val="007E7F58"/>
    <w:rsid w:val="007F4187"/>
    <w:rsid w:val="00801559"/>
    <w:rsid w:val="008116A8"/>
    <w:rsid w:val="00812451"/>
    <w:rsid w:val="00813FE1"/>
    <w:rsid w:val="008144C0"/>
    <w:rsid w:val="00814720"/>
    <w:rsid w:val="00827007"/>
    <w:rsid w:val="008326BD"/>
    <w:rsid w:val="00834294"/>
    <w:rsid w:val="00834B2E"/>
    <w:rsid w:val="00837118"/>
    <w:rsid w:val="00840274"/>
    <w:rsid w:val="00840ADE"/>
    <w:rsid w:val="008425A6"/>
    <w:rsid w:val="00851892"/>
    <w:rsid w:val="00852D91"/>
    <w:rsid w:val="0085324A"/>
    <w:rsid w:val="00854D5D"/>
    <w:rsid w:val="00856396"/>
    <w:rsid w:val="00856719"/>
    <w:rsid w:val="00861803"/>
    <w:rsid w:val="00862671"/>
    <w:rsid w:val="0086397F"/>
    <w:rsid w:val="00864469"/>
    <w:rsid w:val="00866B8C"/>
    <w:rsid w:val="0086704F"/>
    <w:rsid w:val="008703C6"/>
    <w:rsid w:val="0087116B"/>
    <w:rsid w:val="008823D4"/>
    <w:rsid w:val="00884931"/>
    <w:rsid w:val="00884A9A"/>
    <w:rsid w:val="00886253"/>
    <w:rsid w:val="00890232"/>
    <w:rsid w:val="008A7B11"/>
    <w:rsid w:val="008B15C9"/>
    <w:rsid w:val="008B4706"/>
    <w:rsid w:val="008B4C5B"/>
    <w:rsid w:val="008B5150"/>
    <w:rsid w:val="008B5CC6"/>
    <w:rsid w:val="008C29D8"/>
    <w:rsid w:val="008C3DD5"/>
    <w:rsid w:val="008C571B"/>
    <w:rsid w:val="008D1C37"/>
    <w:rsid w:val="008D354A"/>
    <w:rsid w:val="008D4143"/>
    <w:rsid w:val="008D499B"/>
    <w:rsid w:val="008E191C"/>
    <w:rsid w:val="008E1FB9"/>
    <w:rsid w:val="008E2AFC"/>
    <w:rsid w:val="008E2ED7"/>
    <w:rsid w:val="0090129A"/>
    <w:rsid w:val="00901A4F"/>
    <w:rsid w:val="00905137"/>
    <w:rsid w:val="0090601E"/>
    <w:rsid w:val="00912506"/>
    <w:rsid w:val="00915A31"/>
    <w:rsid w:val="00916DF5"/>
    <w:rsid w:val="009175ED"/>
    <w:rsid w:val="00917DE4"/>
    <w:rsid w:val="009208CF"/>
    <w:rsid w:val="009214BC"/>
    <w:rsid w:val="00922864"/>
    <w:rsid w:val="00930DE6"/>
    <w:rsid w:val="0093130C"/>
    <w:rsid w:val="00933F8F"/>
    <w:rsid w:val="00937028"/>
    <w:rsid w:val="00940EF1"/>
    <w:rsid w:val="0094513C"/>
    <w:rsid w:val="00945180"/>
    <w:rsid w:val="00945932"/>
    <w:rsid w:val="00964F1D"/>
    <w:rsid w:val="00973703"/>
    <w:rsid w:val="009739EA"/>
    <w:rsid w:val="00973DC6"/>
    <w:rsid w:val="009821C3"/>
    <w:rsid w:val="0098486C"/>
    <w:rsid w:val="009963ED"/>
    <w:rsid w:val="00997E35"/>
    <w:rsid w:val="009A155C"/>
    <w:rsid w:val="009A1E34"/>
    <w:rsid w:val="009A21F5"/>
    <w:rsid w:val="009A63B8"/>
    <w:rsid w:val="009A7194"/>
    <w:rsid w:val="009A776A"/>
    <w:rsid w:val="009B3197"/>
    <w:rsid w:val="009B3460"/>
    <w:rsid w:val="009B3703"/>
    <w:rsid w:val="009B701D"/>
    <w:rsid w:val="009B7852"/>
    <w:rsid w:val="009C0E81"/>
    <w:rsid w:val="009C3D78"/>
    <w:rsid w:val="009C4888"/>
    <w:rsid w:val="009E42D8"/>
    <w:rsid w:val="009F004C"/>
    <w:rsid w:val="009F7082"/>
    <w:rsid w:val="009F7986"/>
    <w:rsid w:val="00A13FCF"/>
    <w:rsid w:val="00A14885"/>
    <w:rsid w:val="00A21158"/>
    <w:rsid w:val="00A22801"/>
    <w:rsid w:val="00A26040"/>
    <w:rsid w:val="00A26175"/>
    <w:rsid w:val="00A32C59"/>
    <w:rsid w:val="00A33100"/>
    <w:rsid w:val="00A36415"/>
    <w:rsid w:val="00A400C1"/>
    <w:rsid w:val="00A42E9B"/>
    <w:rsid w:val="00A43B93"/>
    <w:rsid w:val="00A55C5C"/>
    <w:rsid w:val="00A669F2"/>
    <w:rsid w:val="00A710AA"/>
    <w:rsid w:val="00A73B48"/>
    <w:rsid w:val="00A7475A"/>
    <w:rsid w:val="00A74E11"/>
    <w:rsid w:val="00A770EB"/>
    <w:rsid w:val="00A82CE4"/>
    <w:rsid w:val="00A85069"/>
    <w:rsid w:val="00A85A53"/>
    <w:rsid w:val="00A87AFD"/>
    <w:rsid w:val="00A97496"/>
    <w:rsid w:val="00A97FE8"/>
    <w:rsid w:val="00AC3599"/>
    <w:rsid w:val="00AC41A1"/>
    <w:rsid w:val="00AC4275"/>
    <w:rsid w:val="00AC5773"/>
    <w:rsid w:val="00AE1DF7"/>
    <w:rsid w:val="00AE2B23"/>
    <w:rsid w:val="00AE4E6E"/>
    <w:rsid w:val="00AE5037"/>
    <w:rsid w:val="00B02207"/>
    <w:rsid w:val="00B024D3"/>
    <w:rsid w:val="00B05203"/>
    <w:rsid w:val="00B1527F"/>
    <w:rsid w:val="00B17DF0"/>
    <w:rsid w:val="00B26644"/>
    <w:rsid w:val="00B33977"/>
    <w:rsid w:val="00B435C5"/>
    <w:rsid w:val="00B533C0"/>
    <w:rsid w:val="00B55290"/>
    <w:rsid w:val="00B60C24"/>
    <w:rsid w:val="00B617D8"/>
    <w:rsid w:val="00B636BE"/>
    <w:rsid w:val="00B6399A"/>
    <w:rsid w:val="00B67DE3"/>
    <w:rsid w:val="00B710F1"/>
    <w:rsid w:val="00B72934"/>
    <w:rsid w:val="00B76DA0"/>
    <w:rsid w:val="00B77BD5"/>
    <w:rsid w:val="00B80862"/>
    <w:rsid w:val="00B82A98"/>
    <w:rsid w:val="00B872BC"/>
    <w:rsid w:val="00B90671"/>
    <w:rsid w:val="00B955C5"/>
    <w:rsid w:val="00B966B1"/>
    <w:rsid w:val="00B9781B"/>
    <w:rsid w:val="00BA0EA4"/>
    <w:rsid w:val="00BA4BF8"/>
    <w:rsid w:val="00BA56BE"/>
    <w:rsid w:val="00BA5844"/>
    <w:rsid w:val="00BC31D0"/>
    <w:rsid w:val="00BC32AD"/>
    <w:rsid w:val="00BD42DF"/>
    <w:rsid w:val="00BF0CA6"/>
    <w:rsid w:val="00BF3D09"/>
    <w:rsid w:val="00BF569F"/>
    <w:rsid w:val="00C042EC"/>
    <w:rsid w:val="00C047EE"/>
    <w:rsid w:val="00C07470"/>
    <w:rsid w:val="00C163F3"/>
    <w:rsid w:val="00C2199C"/>
    <w:rsid w:val="00C219A8"/>
    <w:rsid w:val="00C2209F"/>
    <w:rsid w:val="00C3227C"/>
    <w:rsid w:val="00C373A8"/>
    <w:rsid w:val="00C43728"/>
    <w:rsid w:val="00C50545"/>
    <w:rsid w:val="00C5297B"/>
    <w:rsid w:val="00C53336"/>
    <w:rsid w:val="00C53ACB"/>
    <w:rsid w:val="00C54FDD"/>
    <w:rsid w:val="00C60E8E"/>
    <w:rsid w:val="00C62483"/>
    <w:rsid w:val="00C63029"/>
    <w:rsid w:val="00C67D6E"/>
    <w:rsid w:val="00C72244"/>
    <w:rsid w:val="00C73C93"/>
    <w:rsid w:val="00C82F12"/>
    <w:rsid w:val="00C851AB"/>
    <w:rsid w:val="00C94B74"/>
    <w:rsid w:val="00C95CB8"/>
    <w:rsid w:val="00C9637C"/>
    <w:rsid w:val="00C9666B"/>
    <w:rsid w:val="00C97990"/>
    <w:rsid w:val="00CC1223"/>
    <w:rsid w:val="00CC4101"/>
    <w:rsid w:val="00CD63A3"/>
    <w:rsid w:val="00CD78D7"/>
    <w:rsid w:val="00CE447F"/>
    <w:rsid w:val="00CE47EC"/>
    <w:rsid w:val="00CF1D76"/>
    <w:rsid w:val="00CF2DD2"/>
    <w:rsid w:val="00CF47CF"/>
    <w:rsid w:val="00CF7654"/>
    <w:rsid w:val="00D0249B"/>
    <w:rsid w:val="00D028D8"/>
    <w:rsid w:val="00D06A76"/>
    <w:rsid w:val="00D1178F"/>
    <w:rsid w:val="00D1524B"/>
    <w:rsid w:val="00D2417C"/>
    <w:rsid w:val="00D30357"/>
    <w:rsid w:val="00D32B3D"/>
    <w:rsid w:val="00D35979"/>
    <w:rsid w:val="00D445DD"/>
    <w:rsid w:val="00D44E50"/>
    <w:rsid w:val="00D55593"/>
    <w:rsid w:val="00D62B1F"/>
    <w:rsid w:val="00D65291"/>
    <w:rsid w:val="00D7231C"/>
    <w:rsid w:val="00D76577"/>
    <w:rsid w:val="00D76F16"/>
    <w:rsid w:val="00D80F1B"/>
    <w:rsid w:val="00D829D4"/>
    <w:rsid w:val="00D8481D"/>
    <w:rsid w:val="00DA0807"/>
    <w:rsid w:val="00DA1E5C"/>
    <w:rsid w:val="00DA4415"/>
    <w:rsid w:val="00DA7778"/>
    <w:rsid w:val="00DB7255"/>
    <w:rsid w:val="00DC1975"/>
    <w:rsid w:val="00DC26A9"/>
    <w:rsid w:val="00DC28AD"/>
    <w:rsid w:val="00DD0A7E"/>
    <w:rsid w:val="00DD0C6C"/>
    <w:rsid w:val="00DD7723"/>
    <w:rsid w:val="00DE098E"/>
    <w:rsid w:val="00DE3D4A"/>
    <w:rsid w:val="00DE4658"/>
    <w:rsid w:val="00DF1CFB"/>
    <w:rsid w:val="00DF5E41"/>
    <w:rsid w:val="00E00D07"/>
    <w:rsid w:val="00E010AF"/>
    <w:rsid w:val="00E07466"/>
    <w:rsid w:val="00E106D3"/>
    <w:rsid w:val="00E17DCC"/>
    <w:rsid w:val="00E22415"/>
    <w:rsid w:val="00E236C7"/>
    <w:rsid w:val="00E2644B"/>
    <w:rsid w:val="00E27FF5"/>
    <w:rsid w:val="00E3195E"/>
    <w:rsid w:val="00E33934"/>
    <w:rsid w:val="00E35E53"/>
    <w:rsid w:val="00E36577"/>
    <w:rsid w:val="00E44821"/>
    <w:rsid w:val="00E46CED"/>
    <w:rsid w:val="00E53EAE"/>
    <w:rsid w:val="00E54E63"/>
    <w:rsid w:val="00E56359"/>
    <w:rsid w:val="00E611A9"/>
    <w:rsid w:val="00E6339A"/>
    <w:rsid w:val="00E6417C"/>
    <w:rsid w:val="00E6436F"/>
    <w:rsid w:val="00E7276B"/>
    <w:rsid w:val="00E825C0"/>
    <w:rsid w:val="00E9016C"/>
    <w:rsid w:val="00EA1010"/>
    <w:rsid w:val="00EA21E4"/>
    <w:rsid w:val="00EA65A1"/>
    <w:rsid w:val="00EA6A47"/>
    <w:rsid w:val="00EB1ABF"/>
    <w:rsid w:val="00EB2F7B"/>
    <w:rsid w:val="00EB48EA"/>
    <w:rsid w:val="00EC3748"/>
    <w:rsid w:val="00EC57D1"/>
    <w:rsid w:val="00ED2FF0"/>
    <w:rsid w:val="00ED754A"/>
    <w:rsid w:val="00ED75A3"/>
    <w:rsid w:val="00EE02B6"/>
    <w:rsid w:val="00EE34AA"/>
    <w:rsid w:val="00EE385B"/>
    <w:rsid w:val="00EE47E3"/>
    <w:rsid w:val="00EF0805"/>
    <w:rsid w:val="00EF1BDE"/>
    <w:rsid w:val="00EF264D"/>
    <w:rsid w:val="00EF349B"/>
    <w:rsid w:val="00EF6174"/>
    <w:rsid w:val="00F021B7"/>
    <w:rsid w:val="00F10A2E"/>
    <w:rsid w:val="00F11B66"/>
    <w:rsid w:val="00F131A0"/>
    <w:rsid w:val="00F1354B"/>
    <w:rsid w:val="00F16ADB"/>
    <w:rsid w:val="00F27D90"/>
    <w:rsid w:val="00F31646"/>
    <w:rsid w:val="00F3359C"/>
    <w:rsid w:val="00F3424E"/>
    <w:rsid w:val="00F35941"/>
    <w:rsid w:val="00F42B92"/>
    <w:rsid w:val="00F44019"/>
    <w:rsid w:val="00F440EC"/>
    <w:rsid w:val="00F50362"/>
    <w:rsid w:val="00F530A7"/>
    <w:rsid w:val="00F60EA5"/>
    <w:rsid w:val="00F7192D"/>
    <w:rsid w:val="00F7768D"/>
    <w:rsid w:val="00F85888"/>
    <w:rsid w:val="00F92A8E"/>
    <w:rsid w:val="00F9691F"/>
    <w:rsid w:val="00FA0CC3"/>
    <w:rsid w:val="00FA3731"/>
    <w:rsid w:val="00FA55F8"/>
    <w:rsid w:val="00FC1FA0"/>
    <w:rsid w:val="00FC2500"/>
    <w:rsid w:val="00FC654C"/>
    <w:rsid w:val="00FD2788"/>
    <w:rsid w:val="00FD3708"/>
    <w:rsid w:val="00FD65C1"/>
    <w:rsid w:val="00FD768F"/>
    <w:rsid w:val="00FE28E4"/>
    <w:rsid w:val="00FE2932"/>
    <w:rsid w:val="00FE418A"/>
    <w:rsid w:val="00FE741F"/>
    <w:rsid w:val="00FF2239"/>
    <w:rsid w:val="00FF3F4E"/>
    <w:rsid w:val="45302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nhideWhenUsed="0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nhideWhenUsed="0" w:uiPriority="99" w:name="Balloon Text"/>
    <w:lsdException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iPriority w:val="99"/>
    <w:rPr>
      <w:sz w:val="18"/>
      <w:szCs w:val="18"/>
    </w:rPr>
  </w:style>
  <w:style w:type="paragraph" w:styleId="3">
    <w:name w:val="footer"/>
    <w:basedOn w:val="1"/>
    <w:link w:val="12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1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semiHidden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styleId="7">
    <w:name w:val="Table Grid"/>
    <w:basedOn w:val="6"/>
    <w:uiPriority w:val="9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Hyperlink"/>
    <w:qFormat/>
    <w:uiPriority w:val="99"/>
    <w:rPr>
      <w:rFonts w:cs="Times New Roman"/>
      <w:color w:val="0000FF"/>
      <w:u w:val="single"/>
    </w:rPr>
  </w:style>
  <w:style w:type="character" w:customStyle="1" w:styleId="10">
    <w:name w:val="批注框文本 Char"/>
    <w:link w:val="2"/>
    <w:semiHidden/>
    <w:locked/>
    <w:uiPriority w:val="99"/>
    <w:rPr>
      <w:rFonts w:cs="Times New Roman"/>
      <w:sz w:val="18"/>
      <w:szCs w:val="18"/>
    </w:rPr>
  </w:style>
  <w:style w:type="character" w:customStyle="1" w:styleId="11">
    <w:name w:val="页眉 Char"/>
    <w:link w:val="4"/>
    <w:qFormat/>
    <w:locked/>
    <w:uiPriority w:val="99"/>
    <w:rPr>
      <w:rFonts w:cs="Times New Roman"/>
      <w:sz w:val="18"/>
      <w:szCs w:val="18"/>
    </w:rPr>
  </w:style>
  <w:style w:type="character" w:customStyle="1" w:styleId="12">
    <w:name w:val="页脚 Char"/>
    <w:link w:val="3"/>
    <w:qFormat/>
    <w:locked/>
    <w:uiPriority w:val="99"/>
    <w:rPr>
      <w:rFonts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numbering" Target="numbering.xml"/><Relationship Id="rId14" Type="http://schemas.openxmlformats.org/officeDocument/2006/relationships/image" Target="media/image10.png"/><Relationship Id="rId13" Type="http://schemas.openxmlformats.org/officeDocument/2006/relationships/image" Target="media/image9.png"/><Relationship Id="rId12" Type="http://schemas.openxmlformats.org/officeDocument/2006/relationships/image" Target="media/image8.png"/><Relationship Id="rId11" Type="http://schemas.openxmlformats.org/officeDocument/2006/relationships/image" Target="media/image7.png"/><Relationship Id="rId10" Type="http://schemas.openxmlformats.org/officeDocument/2006/relationships/image" Target="media/image6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8</Pages>
  <Words>276</Words>
  <Characters>1576</Characters>
  <Lines>13</Lines>
  <Paragraphs>3</Paragraphs>
  <TotalTime>461</TotalTime>
  <ScaleCrop>false</ScaleCrop>
  <LinksUpToDate>false</LinksUpToDate>
  <CharactersWithSpaces>1849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2022-11-03T01:42:00Z</dcterms:created>
  <dc:creator>Administrator</dc:creator>
  <cp:lastModifiedBy>WPS_122229761</cp:lastModifiedBy>
  <dcterms:modified xsi:type="dcterms:W3CDTF">2026-06-04T02:31:06Z</dcterms:modified>
  <cp:revision>830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eyJoZGlkIjoiNGM2NjI4MDZjZjQ2MGM5MWJkYzA4Njc4YzA2ZDdmODIiLCJ1c2VySWQiOiIxMjIyMjk3NjEifQ==</vt:lpwstr>
  </property>
  <property fmtid="{D5CDD505-2E9C-101B-9397-08002B2CF9AE}" pid="3" name="KSOProductBuildVer">
    <vt:lpwstr>2052-12.1.0.26895</vt:lpwstr>
  </property>
  <property fmtid="{D5CDD505-2E9C-101B-9397-08002B2CF9AE}" pid="4" name="ICV">
    <vt:lpwstr>F2194F41EF4342AE99D0B06F1081F882_12</vt:lpwstr>
  </property>
</Properties>
</file>